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92BA" w14:textId="77777777" w:rsidR="00010AB5" w:rsidRDefault="00010AB5" w:rsidP="00010AB5">
      <w:pPr>
        <w:rPr>
          <w:b/>
        </w:rPr>
      </w:pPr>
    </w:p>
    <w:p w14:paraId="3CC593FC" w14:textId="0E0CB2CA" w:rsidR="00010AB5" w:rsidRDefault="00010AB5" w:rsidP="00010AB5">
      <w:pPr>
        <w:rPr>
          <w:b/>
        </w:rPr>
      </w:pPr>
      <w:r w:rsidRPr="002563FE">
        <w:rPr>
          <w:noProof/>
        </w:rPr>
        <w:drawing>
          <wp:inline distT="0" distB="0" distL="0" distR="0" wp14:anchorId="382569E0" wp14:editId="5CD90E76">
            <wp:extent cx="3209925" cy="600075"/>
            <wp:effectExtent l="0" t="0" r="9525" b="9525"/>
            <wp:docPr id="10" name="Picture 10" descr="antet_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r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4A">
        <w:rPr>
          <w:noProof/>
        </w:rPr>
        <w:t xml:space="preserve">       </w:t>
      </w:r>
      <w:r w:rsidRPr="002563FE">
        <w:rPr>
          <w:noProof/>
        </w:rPr>
        <w:drawing>
          <wp:inline distT="0" distB="0" distL="0" distR="0" wp14:anchorId="0E5B7BC3" wp14:editId="50A9A8F6">
            <wp:extent cx="1285875" cy="419100"/>
            <wp:effectExtent l="0" t="0" r="9525" b="0"/>
            <wp:docPr id="9" name="Picture 9" descr="logo activewatch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activewatch m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4A">
        <w:rPr>
          <w:noProof/>
        </w:rPr>
        <w:t xml:space="preserve">         </w:t>
      </w:r>
      <w:r w:rsidRPr="002563FE">
        <w:rPr>
          <w:noProof/>
        </w:rPr>
        <w:drawing>
          <wp:inline distT="0" distB="0" distL="0" distR="0" wp14:anchorId="66A7A2F5" wp14:editId="7762E372">
            <wp:extent cx="647700" cy="609600"/>
            <wp:effectExtent l="0" t="0" r="0" b="0"/>
            <wp:docPr id="8" name="Picture 8" descr="ANB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BCC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4A">
        <w:rPr>
          <w:noProof/>
        </w:rPr>
        <w:t xml:space="preserve">                                                                                                            </w:t>
      </w:r>
    </w:p>
    <w:p w14:paraId="49E0DA0A" w14:textId="77777777" w:rsidR="00010AB5" w:rsidRDefault="00010AB5" w:rsidP="00010AB5">
      <w:pPr>
        <w:jc w:val="center"/>
        <w:rPr>
          <w:b/>
        </w:rPr>
      </w:pPr>
    </w:p>
    <w:p w14:paraId="521994C3" w14:textId="77777777" w:rsidR="00010AB5" w:rsidRDefault="00010AB5" w:rsidP="00010AB5">
      <w:pPr>
        <w:jc w:val="center"/>
        <w:rPr>
          <w:b/>
        </w:rPr>
      </w:pPr>
    </w:p>
    <w:p w14:paraId="5167861E" w14:textId="51386908" w:rsidR="005D5DE1" w:rsidRDefault="005D5DE1" w:rsidP="00010AB5">
      <w:pPr>
        <w:jc w:val="center"/>
        <w:rPr>
          <w:b/>
        </w:rPr>
      </w:pPr>
      <w:r>
        <w:rPr>
          <w:b/>
        </w:rPr>
        <w:t xml:space="preserve">Instituția Ombudsman </w:t>
      </w:r>
      <w:r w:rsidR="00CE4D7D">
        <w:rPr>
          <w:b/>
        </w:rPr>
        <w:t>din Republica Irlandeză</w:t>
      </w:r>
    </w:p>
    <w:p w14:paraId="4828AF0E" w14:textId="5BD09A4E" w:rsidR="00CE4D7D" w:rsidRDefault="00CE4D7D" w:rsidP="00010AB5">
      <w:pPr>
        <w:jc w:val="center"/>
      </w:pPr>
      <w:r>
        <w:t>Ombudsman of Ireland</w:t>
      </w:r>
    </w:p>
    <w:p w14:paraId="5F0F285A" w14:textId="77777777" w:rsidR="00010AB5" w:rsidRPr="00CE4D7D" w:rsidRDefault="00010AB5" w:rsidP="00010AB5">
      <w:pPr>
        <w:jc w:val="center"/>
      </w:pPr>
    </w:p>
    <w:p w14:paraId="45A15CD0" w14:textId="2B7FC0AB" w:rsidR="005D5DE1" w:rsidRPr="00010AB5" w:rsidRDefault="00010AB5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010AB5">
        <w:rPr>
          <w:rFonts w:asciiTheme="minorHAnsi" w:hAnsiTheme="minorHAnsi"/>
          <w:i/>
          <w:sz w:val="22"/>
          <w:szCs w:val="22"/>
        </w:rPr>
        <w:t>* Material realizat cu sprijinul lui Flaviu Muica, Voluntar APADOR-CH</w:t>
      </w:r>
    </w:p>
    <w:p w14:paraId="05B5FCDA" w14:textId="77777777" w:rsidR="00010AB5" w:rsidRDefault="00010AB5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638BE26E" w14:textId="77777777" w:rsidR="00010AB5" w:rsidRDefault="00010AB5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087A78B8" w14:textId="77777777" w:rsidR="00010AB5" w:rsidRDefault="00010AB5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14:paraId="5A7270CD" w14:textId="77777777" w:rsidR="005D5DE1" w:rsidRDefault="005D5DE1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9B2FE3">
        <w:rPr>
          <w:rFonts w:asciiTheme="minorHAnsi" w:hAnsiTheme="minorHAnsi"/>
          <w:i/>
          <w:sz w:val="22"/>
          <w:szCs w:val="22"/>
          <w:u w:val="single"/>
        </w:rPr>
        <w:t>Scurt istoric</w:t>
      </w:r>
      <w:r>
        <w:rPr>
          <w:rFonts w:asciiTheme="minorHAnsi" w:hAnsiTheme="minorHAnsi"/>
          <w:sz w:val="22"/>
          <w:szCs w:val="22"/>
          <w:lang w:val="en-GB"/>
        </w:rPr>
        <w:t>:</w:t>
      </w:r>
    </w:p>
    <w:p w14:paraId="6CBC8397" w14:textId="77777777" w:rsidR="00CE4D7D" w:rsidRDefault="00CE4D7D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7112F38" w14:textId="5BF767E5" w:rsidR="00CE4D7D" w:rsidRDefault="00CE4D7D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Legea de </w:t>
      </w:r>
      <w:r>
        <w:rPr>
          <w:rFonts w:asciiTheme="minorHAnsi" w:hAnsiTheme="minorHAnsi"/>
          <w:sz w:val="22"/>
          <w:szCs w:val="22"/>
          <w:lang w:val="ro-RO"/>
        </w:rPr>
        <w:t xml:space="preserve">înființare și funcționare a instituției Ombudsman din Republica Irlanda datează din 1980 și </w:t>
      </w:r>
      <w:r w:rsidR="00DE185F">
        <w:rPr>
          <w:rFonts w:asciiTheme="minorHAnsi" w:hAnsiTheme="minorHAnsi"/>
          <w:sz w:val="22"/>
          <w:szCs w:val="22"/>
          <w:lang w:val="ro-RO"/>
        </w:rPr>
        <w:t>stabilește procedurile de numire și revocare din funcție, dar și principale competențe și căi de</w:t>
      </w:r>
      <w:r w:rsidR="0017301D">
        <w:rPr>
          <w:rFonts w:asciiTheme="minorHAnsi" w:hAnsiTheme="minorHAnsi"/>
          <w:sz w:val="22"/>
          <w:szCs w:val="22"/>
          <w:lang w:val="ro-RO"/>
        </w:rPr>
        <w:t xml:space="preserve"> investigație</w:t>
      </w:r>
      <w:r w:rsidR="00DE185F">
        <w:rPr>
          <w:rFonts w:asciiTheme="minorHAnsi" w:hAnsiTheme="minorHAnsi"/>
          <w:sz w:val="22"/>
          <w:szCs w:val="22"/>
          <w:lang w:val="ro-RO"/>
        </w:rPr>
        <w:t>.</w:t>
      </w:r>
    </w:p>
    <w:p w14:paraId="027C2375" w14:textId="77777777" w:rsidR="00481715" w:rsidRDefault="00481715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E165C6B" w14:textId="604BBBE1" w:rsidR="0017301D" w:rsidRDefault="0017301D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Ombudsman din Irlanda este o instituție independentă care are misiunea de a analiza și investiga sesizările cetățenilor care consideră că au fost tratați necorespunzător de autoritățile administrației publice.</w:t>
      </w:r>
      <w:r w:rsidR="00FE54DA">
        <w:rPr>
          <w:rFonts w:asciiTheme="minorHAnsi" w:hAnsiTheme="minorHAnsi"/>
          <w:sz w:val="22"/>
          <w:szCs w:val="22"/>
          <w:lang w:val="ro-RO"/>
        </w:rPr>
        <w:t xml:space="preserve"> În al doilea rând, instituția își propune să îmbunătățească serviciile publice asigurându-se că autoritățile publice vor învăța din neregulile identificate.</w:t>
      </w:r>
      <w:r w:rsidR="00D11A15">
        <w:rPr>
          <w:rStyle w:val="FootnoteReference"/>
          <w:rFonts w:asciiTheme="minorHAnsi" w:hAnsiTheme="minorHAnsi"/>
          <w:sz w:val="22"/>
          <w:szCs w:val="22"/>
          <w:lang w:val="ro-RO"/>
        </w:rPr>
        <w:footnoteReference w:id="1"/>
      </w:r>
    </w:p>
    <w:p w14:paraId="79495DFB" w14:textId="4061C4B5" w:rsidR="00FE54DA" w:rsidRPr="00CE4D7D" w:rsidRDefault="00FE54DA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35E4F1F" w14:textId="77777777" w:rsidR="005D5DE1" w:rsidRPr="009B2FE3" w:rsidRDefault="005D5DE1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6B61763" w14:textId="77777777" w:rsidR="005D5DE1" w:rsidRDefault="005D5DE1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64D1A46" w14:textId="6D78B30E" w:rsidR="005D5DE1" w:rsidRDefault="005D5DE1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zh-CN"/>
        </w:rPr>
        <w:drawing>
          <wp:inline distT="0" distB="0" distL="0" distR="0" wp14:anchorId="4A7A0A2F" wp14:editId="76217A2A">
            <wp:extent cx="4889500" cy="20574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3383853" w14:textId="77777777" w:rsidR="005D5DE1" w:rsidRPr="009B2FE3" w:rsidRDefault="005D5DE1" w:rsidP="00010AB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3D2180BD" w14:textId="77777777" w:rsidR="00835031" w:rsidRDefault="00835031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i/>
          <w:sz w:val="22"/>
          <w:szCs w:val="22"/>
          <w:u w:val="single"/>
        </w:rPr>
      </w:pPr>
    </w:p>
    <w:p w14:paraId="1ED577F5" w14:textId="412A48FF" w:rsidR="005D5DE1" w:rsidRPr="006F3575" w:rsidRDefault="00B021E7" w:rsidP="00010AB5">
      <w:pPr>
        <w:pStyle w:val="Heading1"/>
        <w:keepNext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>
        <w:rPr>
          <w:rFonts w:asciiTheme="minorHAnsi" w:hAnsiTheme="minorHAnsi"/>
          <w:b w:val="0"/>
          <w:i/>
          <w:sz w:val="22"/>
          <w:szCs w:val="22"/>
          <w:u w:val="single"/>
        </w:rPr>
        <w:t>Structura instituției</w:t>
      </w:r>
      <w:r w:rsidR="006F3575">
        <w:rPr>
          <w:rFonts w:asciiTheme="minorHAnsi" w:hAnsiTheme="minorHAnsi"/>
          <w:b w:val="0"/>
          <w:sz w:val="22"/>
          <w:szCs w:val="22"/>
          <w:lang w:val="en-GB"/>
        </w:rPr>
        <w:t>:</w:t>
      </w:r>
    </w:p>
    <w:p w14:paraId="48AADE77" w14:textId="77777777" w:rsidR="006F3575" w:rsidRDefault="006F3575" w:rsidP="00010AB5">
      <w:pPr>
        <w:pStyle w:val="Heading1"/>
        <w:keepNext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14:paraId="0E3F2B24" w14:textId="7D119CF8" w:rsidR="00B021E7" w:rsidRDefault="00B021E7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>
        <w:rPr>
          <w:rFonts w:asciiTheme="minorHAnsi" w:hAnsiTheme="minorHAnsi"/>
          <w:b w:val="0"/>
          <w:sz w:val="22"/>
          <w:szCs w:val="22"/>
        </w:rPr>
        <w:t>I</w:t>
      </w:r>
      <w:r w:rsidR="00B93DD4">
        <w:rPr>
          <w:rFonts w:asciiTheme="minorHAnsi" w:hAnsiTheme="minorHAnsi"/>
          <w:b w:val="0"/>
          <w:sz w:val="22"/>
          <w:szCs w:val="22"/>
        </w:rPr>
        <w:t xml:space="preserve">nstituția are 92 de angajați </w:t>
      </w:r>
      <w:r w:rsidR="00B93DD4">
        <w:rPr>
          <w:rFonts w:asciiTheme="minorHAnsi" w:hAnsiTheme="minorHAnsi"/>
          <w:b w:val="0"/>
          <w:sz w:val="22"/>
          <w:szCs w:val="22"/>
          <w:lang w:val="ro-RO"/>
        </w:rPr>
        <w:t>și este condusă de următoarea echipă managerială</w:t>
      </w:r>
      <w:r w:rsidR="00843F5C">
        <w:rPr>
          <w:rStyle w:val="FootnoteReference"/>
          <w:rFonts w:asciiTheme="minorHAnsi" w:hAnsiTheme="minorHAnsi"/>
          <w:b w:val="0"/>
          <w:sz w:val="22"/>
          <w:szCs w:val="22"/>
          <w:lang w:val="ro-RO"/>
        </w:rPr>
        <w:footnoteReference w:id="2"/>
      </w:r>
      <w:r w:rsidR="00B93DD4">
        <w:rPr>
          <w:rFonts w:asciiTheme="minorHAnsi" w:hAnsiTheme="minorHAnsi"/>
          <w:b w:val="0"/>
          <w:sz w:val="22"/>
          <w:szCs w:val="22"/>
          <w:lang w:val="en-GB"/>
        </w:rPr>
        <w:t>:</w:t>
      </w:r>
    </w:p>
    <w:p w14:paraId="743008FE" w14:textId="77777777" w:rsidR="00B93DD4" w:rsidRDefault="00B93DD4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tbl>
      <w:tblPr>
        <w:tblW w:w="566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2EF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2693"/>
      </w:tblGrid>
      <w:tr w:rsidR="00B93DD4" w:rsidRPr="00C77F9E" w14:paraId="133C54FF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6ABF9471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b/>
                <w:bCs/>
                <w:lang w:val="ro-RO" w:eastAsia="ro-RO"/>
              </w:rPr>
              <w:t>Ombudsman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52AEB400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Peter Tyndall</w:t>
            </w:r>
          </w:p>
        </w:tc>
      </w:tr>
      <w:tr w:rsidR="00B93DD4" w:rsidRPr="00C77F9E" w14:paraId="4DFC3774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0C956AD2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b/>
                <w:bCs/>
                <w:lang w:val="ro-RO" w:eastAsia="ro-RO"/>
              </w:rPr>
              <w:t>Director General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5B2FA5E5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Jacqui McCrum</w:t>
            </w:r>
          </w:p>
        </w:tc>
      </w:tr>
      <w:tr w:rsidR="00B93DD4" w:rsidRPr="00C77F9E" w14:paraId="03B2B1F9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5FE8413E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b/>
                <w:bCs/>
                <w:lang w:val="ro-RO" w:eastAsia="ro-RO"/>
              </w:rPr>
              <w:t>Senior Investigators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6C1BDB23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 </w:t>
            </w:r>
          </w:p>
        </w:tc>
      </w:tr>
      <w:tr w:rsidR="00B93DD4" w:rsidRPr="00C77F9E" w14:paraId="6497D17D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7962526E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i/>
                <w:iCs/>
                <w:lang w:val="ro-RO" w:eastAsia="ro-RO"/>
              </w:rPr>
              <w:t>Enquiries Unit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4C012FE9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Sean Garvey</w:t>
            </w:r>
          </w:p>
        </w:tc>
      </w:tr>
      <w:tr w:rsidR="00B93DD4" w:rsidRPr="00C77F9E" w14:paraId="50D840CD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2F4C8C11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i/>
                <w:iCs/>
                <w:lang w:val="ro-RO" w:eastAsia="ro-RO"/>
              </w:rPr>
              <w:t>Assessment Unit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26A631FB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Sean Garvey</w:t>
            </w:r>
          </w:p>
        </w:tc>
      </w:tr>
      <w:tr w:rsidR="00B93DD4" w:rsidRPr="00C77F9E" w14:paraId="2AABC700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133AD16A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i/>
                <w:iCs/>
                <w:lang w:val="ro-RO" w:eastAsia="ro-RO"/>
              </w:rPr>
              <w:t>Examinations Unit</w:t>
            </w:r>
            <w:r w:rsidRPr="00C77F9E">
              <w:rPr>
                <w:rFonts w:ascii="Calibri" w:hAnsi="Calibri"/>
                <w:lang w:val="ro-RO" w:eastAsia="ro-RO"/>
              </w:rPr>
              <w:t xml:space="preserve"> 1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52809A49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Tom Morgan</w:t>
            </w:r>
          </w:p>
        </w:tc>
      </w:tr>
      <w:tr w:rsidR="00B93DD4" w:rsidRPr="00C77F9E" w14:paraId="3AD84631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hideMark/>
          </w:tcPr>
          <w:p w14:paraId="1AFE14BB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i/>
                <w:iCs/>
                <w:lang w:val="ro-RO" w:eastAsia="ro-RO"/>
              </w:rPr>
              <w:t>Examinations Unit 2</w:t>
            </w:r>
          </w:p>
        </w:tc>
        <w:tc>
          <w:tcPr>
            <w:tcW w:w="2693" w:type="dxa"/>
            <w:shd w:val="clear" w:color="auto" w:fill="E2EFD9" w:themeFill="accent6" w:themeFillTint="33"/>
            <w:hideMark/>
          </w:tcPr>
          <w:p w14:paraId="206E1996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Sean Garvey</w:t>
            </w:r>
          </w:p>
        </w:tc>
      </w:tr>
      <w:tr w:rsidR="00B93DD4" w:rsidRPr="00C77F9E" w14:paraId="50F1C32A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16099035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b/>
                <w:bCs/>
                <w:lang w:val="ro-RO" w:eastAsia="ro-RO"/>
              </w:rPr>
              <w:t>Shared Services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07EE02E5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Andrew Patterson</w:t>
            </w:r>
          </w:p>
        </w:tc>
      </w:tr>
      <w:tr w:rsidR="00B93DD4" w:rsidRPr="00C77F9E" w14:paraId="38AF591B" w14:textId="77777777" w:rsidTr="00B93DD4">
        <w:trPr>
          <w:tblCellSpacing w:w="0" w:type="dxa"/>
        </w:trPr>
        <w:tc>
          <w:tcPr>
            <w:tcW w:w="2974" w:type="dxa"/>
            <w:shd w:val="clear" w:color="auto" w:fill="E2EFD9" w:themeFill="accent6" w:themeFillTint="33"/>
            <w:vAlign w:val="center"/>
            <w:hideMark/>
          </w:tcPr>
          <w:p w14:paraId="65D8F008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b/>
                <w:bCs/>
                <w:lang w:val="ro-RO" w:eastAsia="ro-RO"/>
              </w:rPr>
              <w:t>Head of Quality Standards, Stakeholder Engagement and Communications 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  <w:hideMark/>
          </w:tcPr>
          <w:p w14:paraId="4E7D5193" w14:textId="77777777" w:rsidR="00B93DD4" w:rsidRPr="00C77F9E" w:rsidRDefault="00B93DD4" w:rsidP="00010AB5">
            <w:pPr>
              <w:rPr>
                <w:rFonts w:ascii="Calibri" w:hAnsi="Calibri"/>
                <w:lang w:val="ro-RO" w:eastAsia="ro-RO"/>
              </w:rPr>
            </w:pPr>
            <w:r w:rsidRPr="00C77F9E">
              <w:rPr>
                <w:rFonts w:ascii="Calibri" w:hAnsi="Calibri"/>
                <w:lang w:val="ro-RO" w:eastAsia="ro-RO"/>
              </w:rPr>
              <w:t>David Nutley</w:t>
            </w:r>
          </w:p>
        </w:tc>
      </w:tr>
    </w:tbl>
    <w:p w14:paraId="2CDE646E" w14:textId="77777777" w:rsidR="00B93DD4" w:rsidRPr="00B93DD4" w:rsidRDefault="00B93DD4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4BE3945F" w14:textId="77777777" w:rsidR="00B021E7" w:rsidRDefault="00B021E7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</w:p>
    <w:p w14:paraId="5B65E926" w14:textId="1FB86BAF" w:rsidR="00514C7B" w:rsidRDefault="00B93DD4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B93DD4">
        <w:rPr>
          <w:rFonts w:asciiTheme="minorHAnsi" w:hAnsiTheme="minorHAnsi"/>
          <w:b w:val="0"/>
          <w:i/>
          <w:sz w:val="22"/>
          <w:szCs w:val="22"/>
          <w:u w:val="single"/>
          <w:lang w:val="en-GB"/>
        </w:rPr>
        <w:t>Competen</w:t>
      </w:r>
      <w:r w:rsidRPr="00B93DD4">
        <w:rPr>
          <w:rFonts w:asciiTheme="minorHAnsi" w:hAnsiTheme="minorHAnsi"/>
          <w:b w:val="0"/>
          <w:i/>
          <w:sz w:val="22"/>
          <w:szCs w:val="22"/>
          <w:u w:val="single"/>
          <w:lang w:val="ro-RO"/>
        </w:rPr>
        <w:t>țe și măsuri dispuse de Ombudsman</w:t>
      </w:r>
      <w:r>
        <w:rPr>
          <w:rFonts w:asciiTheme="minorHAnsi" w:hAnsiTheme="minorHAnsi"/>
          <w:b w:val="0"/>
          <w:sz w:val="22"/>
          <w:szCs w:val="22"/>
          <w:lang w:val="en-GB"/>
        </w:rPr>
        <w:t>:</w:t>
      </w:r>
    </w:p>
    <w:p w14:paraId="059E29DB" w14:textId="77777777" w:rsidR="00B93DD4" w:rsidRDefault="00B93DD4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0107EA1A" w14:textId="0C38ED0A" w:rsidR="00B93DD4" w:rsidRDefault="00E07583" w:rsidP="00010AB5">
      <w:pPr>
        <w:pStyle w:val="Heading1"/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  <w:lang w:val="en-GB"/>
        </w:rPr>
        <w:t>Cet</w:t>
      </w:r>
      <w:r>
        <w:rPr>
          <w:rFonts w:asciiTheme="minorHAnsi" w:hAnsiTheme="minorHAnsi"/>
          <w:b w:val="0"/>
          <w:sz w:val="22"/>
          <w:szCs w:val="22"/>
          <w:lang w:val="ro-RO"/>
        </w:rPr>
        <w:t xml:space="preserve">ățenii irlandezi pot contacta instituția Ombudsman pentru a înainta sesizări față de </w:t>
      </w:r>
      <w:r w:rsidRPr="00E07583">
        <w:rPr>
          <w:rFonts w:ascii="Calibri" w:hAnsi="Calibri"/>
          <w:b w:val="0"/>
          <w:sz w:val="22"/>
          <w:szCs w:val="22"/>
        </w:rPr>
        <w:t>departamente guvernamentale, autoritățile locale, Serviciul de Sănătate (Health Service Executive, HSE), spitale publice și instituțiile de învățământ finanțate din fonduri publice.</w:t>
      </w:r>
      <w:r>
        <w:rPr>
          <w:rFonts w:ascii="Calibri" w:hAnsi="Calibri"/>
          <w:b w:val="0"/>
          <w:sz w:val="22"/>
          <w:szCs w:val="22"/>
        </w:rPr>
        <w:t xml:space="preserve"> În 2013, the Ombudsman Amendment Act introduce un num</w:t>
      </w:r>
      <w:r>
        <w:rPr>
          <w:rFonts w:ascii="Calibri" w:hAnsi="Calibri"/>
          <w:b w:val="0"/>
          <w:sz w:val="22"/>
          <w:szCs w:val="22"/>
          <w:lang w:val="ro-RO"/>
        </w:rPr>
        <w:t>ăr 180 de</w:t>
      </w:r>
      <w:r w:rsidR="002F65E5">
        <w:rPr>
          <w:rFonts w:ascii="Calibri" w:hAnsi="Calibri"/>
          <w:b w:val="0"/>
          <w:sz w:val="22"/>
          <w:szCs w:val="22"/>
          <w:lang w:val="ro-RO"/>
        </w:rPr>
        <w:t xml:space="preserve"> entități publice sub incidența </w:t>
      </w:r>
      <w:r>
        <w:rPr>
          <w:rFonts w:ascii="Calibri" w:hAnsi="Calibri"/>
          <w:b w:val="0"/>
          <w:sz w:val="22"/>
          <w:szCs w:val="22"/>
          <w:lang w:val="ro-RO"/>
        </w:rPr>
        <w:t>instituției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E07583">
        <w:rPr>
          <w:rStyle w:val="FootnoteReference"/>
          <w:rFonts w:ascii="Calibri" w:hAnsi="Calibri"/>
          <w:b w:val="0"/>
          <w:sz w:val="22"/>
          <w:szCs w:val="22"/>
        </w:rPr>
        <w:footnoteReference w:id="3"/>
      </w:r>
      <w:r w:rsidR="002F65E5">
        <w:rPr>
          <w:rFonts w:ascii="Calibri" w:hAnsi="Calibri"/>
          <w:b w:val="0"/>
          <w:sz w:val="22"/>
          <w:szCs w:val="22"/>
        </w:rPr>
        <w:t>.</w:t>
      </w:r>
    </w:p>
    <w:p w14:paraId="415DB50A" w14:textId="77777777" w:rsidR="00481715" w:rsidRDefault="00481715" w:rsidP="00010AB5">
      <w:pPr>
        <w:pStyle w:val="Heading1"/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</w:p>
    <w:p w14:paraId="42F7172D" w14:textId="2F11ED39" w:rsidR="00481715" w:rsidRDefault="00481715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ro-RO"/>
        </w:rPr>
      </w:pPr>
      <w:r>
        <w:rPr>
          <w:rFonts w:asciiTheme="minorHAnsi" w:hAnsiTheme="minorHAnsi"/>
          <w:b w:val="0"/>
          <w:sz w:val="22"/>
          <w:szCs w:val="22"/>
          <w:lang w:val="ro-RO"/>
        </w:rPr>
        <w:t>Instituția analizează sesizările cetățenilor, solicită un punct de vedere din partea ambelor părți (reclamant și autoritatea publică pârâtă), desfășoară o anchetă în măsura în care solicitarea este justificată și formulează recomandări.</w:t>
      </w:r>
      <w:r w:rsidR="000631C7">
        <w:rPr>
          <w:rFonts w:asciiTheme="minorHAnsi" w:hAnsiTheme="minorHAnsi"/>
          <w:b w:val="0"/>
          <w:sz w:val="22"/>
          <w:szCs w:val="22"/>
          <w:lang w:val="ro-RO"/>
        </w:rPr>
        <w:t xml:space="preserve"> Observațiile și recomandările formulate vor fi transmise celor două părți. Recomandările adresate autorităților publice nu au caracter obligatoriu de implementare, însă, în măsura în care Ombudsman-ul constată că autoritatea în cauză nu acționează favorabil, atunci acesta </w:t>
      </w:r>
      <w:r w:rsidR="004E7030">
        <w:rPr>
          <w:rFonts w:asciiTheme="minorHAnsi" w:hAnsiTheme="minorHAnsi"/>
          <w:b w:val="0"/>
          <w:sz w:val="22"/>
          <w:szCs w:val="22"/>
          <w:lang w:val="ro-RO"/>
        </w:rPr>
        <w:t>poate întocmi și transmite Parlamentului un raport</w:t>
      </w:r>
      <w:r w:rsidR="00EC585D">
        <w:rPr>
          <w:rFonts w:asciiTheme="minorHAnsi" w:hAnsiTheme="minorHAnsi"/>
          <w:b w:val="0"/>
          <w:sz w:val="22"/>
          <w:szCs w:val="22"/>
          <w:lang w:val="ro-RO"/>
        </w:rPr>
        <w:t xml:space="preserve"> special</w:t>
      </w:r>
      <w:r w:rsidR="004E7030">
        <w:rPr>
          <w:rFonts w:asciiTheme="minorHAnsi" w:hAnsiTheme="minorHAnsi"/>
          <w:b w:val="0"/>
          <w:sz w:val="22"/>
          <w:szCs w:val="22"/>
          <w:lang w:val="ro-RO"/>
        </w:rPr>
        <w:t>.</w:t>
      </w:r>
    </w:p>
    <w:p w14:paraId="1D01CB20" w14:textId="77777777" w:rsidR="005429A3" w:rsidRDefault="005429A3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ro-RO"/>
        </w:rPr>
      </w:pPr>
    </w:p>
    <w:p w14:paraId="6E6F0492" w14:textId="77777777" w:rsidR="007553C7" w:rsidRDefault="005429A3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ro-RO"/>
        </w:rPr>
      </w:pPr>
      <w:r>
        <w:rPr>
          <w:rFonts w:asciiTheme="minorHAnsi" w:hAnsiTheme="minorHAnsi"/>
          <w:b w:val="0"/>
          <w:sz w:val="22"/>
          <w:szCs w:val="22"/>
          <w:lang w:val="ro-RO"/>
        </w:rPr>
        <w:t>În fiecare an, Ombudsman-ul realizează și prezintă Parlamentului un raport general cu privire la exercitarea atribuțiilor funcției sale.</w:t>
      </w:r>
    </w:p>
    <w:p w14:paraId="487FFD23" w14:textId="77777777" w:rsidR="007553C7" w:rsidRDefault="007553C7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ro-RO"/>
        </w:rPr>
      </w:pPr>
    </w:p>
    <w:p w14:paraId="2F8071C1" w14:textId="5AC5B4C4" w:rsidR="007553C7" w:rsidRPr="007553C7" w:rsidRDefault="007553C7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ro-RO"/>
        </w:rPr>
      </w:pPr>
      <w:r w:rsidRPr="007553C7">
        <w:rPr>
          <w:rFonts w:ascii="Calibri" w:hAnsi="Calibri"/>
          <w:b w:val="0"/>
          <w:sz w:val="22"/>
          <w:szCs w:val="22"/>
          <w:lang w:val="ro-RO"/>
        </w:rPr>
        <w:t>În 2014, numărul total de plângeri primite de Ombudsman a fost de 3535, comparativ cu 3190 î</w:t>
      </w:r>
      <w:r>
        <w:rPr>
          <w:rFonts w:ascii="Calibri" w:hAnsi="Calibri"/>
          <w:b w:val="0"/>
          <w:sz w:val="22"/>
          <w:szCs w:val="22"/>
          <w:lang w:val="ro-RO"/>
        </w:rPr>
        <w:t>n 2013. Aceasta</w:t>
      </w:r>
      <w:r w:rsidR="00E87D47">
        <w:rPr>
          <w:rFonts w:ascii="Calibri" w:hAnsi="Calibri"/>
          <w:b w:val="0"/>
          <w:sz w:val="22"/>
          <w:szCs w:val="22"/>
          <w:lang w:val="ro-RO"/>
        </w:rPr>
        <w:t xml:space="preserve"> reprezintă o creștere de 11% și o îmbunătățire evidentă față de </w:t>
      </w:r>
      <w:r w:rsidRPr="007553C7">
        <w:rPr>
          <w:rFonts w:ascii="Calibri" w:hAnsi="Calibri"/>
          <w:b w:val="0"/>
          <w:sz w:val="22"/>
          <w:szCs w:val="22"/>
          <w:lang w:val="ro-RO"/>
        </w:rPr>
        <w:t xml:space="preserve">media </w:t>
      </w:r>
      <w:r w:rsidR="00445D3A">
        <w:rPr>
          <w:rFonts w:ascii="Calibri" w:hAnsi="Calibri"/>
          <w:b w:val="0"/>
          <w:sz w:val="22"/>
          <w:szCs w:val="22"/>
          <w:lang w:val="ro-RO"/>
        </w:rPr>
        <w:t>de sesizări primite în</w:t>
      </w:r>
      <w:r w:rsidRPr="007553C7">
        <w:rPr>
          <w:rFonts w:ascii="Calibri" w:hAnsi="Calibri"/>
          <w:b w:val="0"/>
          <w:sz w:val="22"/>
          <w:szCs w:val="22"/>
          <w:lang w:val="ro-RO"/>
        </w:rPr>
        <w:t xml:space="preserve"> ultimii 10 ani (2.872). În 2014</w:t>
      </w:r>
      <w:r>
        <w:rPr>
          <w:rFonts w:ascii="Calibri" w:hAnsi="Calibri"/>
          <w:b w:val="0"/>
          <w:sz w:val="22"/>
          <w:szCs w:val="22"/>
          <w:lang w:val="ro-RO"/>
        </w:rPr>
        <w:t>, 60% din cazuri au fost finalizate</w:t>
      </w:r>
      <w:r w:rsidRPr="007553C7">
        <w:rPr>
          <w:rFonts w:ascii="Calibri" w:hAnsi="Calibri"/>
          <w:b w:val="0"/>
          <w:sz w:val="22"/>
          <w:szCs w:val="22"/>
          <w:lang w:val="ro-RO"/>
        </w:rPr>
        <w:t xml:space="preserve"> în termen de 3 luni și 91% au fost închise în termen de 12 luni.</w:t>
      </w:r>
      <w:r w:rsidRPr="007553C7">
        <w:rPr>
          <w:rStyle w:val="FootnoteReference"/>
          <w:rFonts w:ascii="Calibri" w:hAnsi="Calibri"/>
          <w:b w:val="0"/>
          <w:sz w:val="22"/>
          <w:szCs w:val="22"/>
          <w:lang w:val="ro-RO"/>
        </w:rPr>
        <w:footnoteReference w:id="4"/>
      </w:r>
    </w:p>
    <w:p w14:paraId="233B2829" w14:textId="77777777" w:rsidR="007553C7" w:rsidRDefault="007553C7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ro-RO"/>
        </w:rPr>
      </w:pPr>
    </w:p>
    <w:p w14:paraId="2CA97283" w14:textId="77777777" w:rsidR="00450B0E" w:rsidRDefault="00450B0E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ro-RO"/>
        </w:rPr>
      </w:pPr>
    </w:p>
    <w:p w14:paraId="16D44994" w14:textId="77777777" w:rsidR="00450B0E" w:rsidRDefault="00450B0E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 w:rsidRPr="00450B0E">
        <w:rPr>
          <w:rFonts w:asciiTheme="minorHAnsi" w:hAnsiTheme="minorHAnsi"/>
          <w:b w:val="0"/>
          <w:i/>
          <w:sz w:val="22"/>
          <w:szCs w:val="22"/>
          <w:u w:val="single"/>
          <w:lang w:val="ro-RO"/>
        </w:rPr>
        <w:t>Numire și revocare</w:t>
      </w:r>
      <w:r>
        <w:rPr>
          <w:rFonts w:asciiTheme="minorHAnsi" w:hAnsiTheme="minorHAnsi"/>
          <w:b w:val="0"/>
          <w:sz w:val="22"/>
          <w:szCs w:val="22"/>
          <w:lang w:val="en-GB"/>
        </w:rPr>
        <w:t>:</w:t>
      </w:r>
    </w:p>
    <w:p w14:paraId="42248569" w14:textId="77777777" w:rsidR="00450B0E" w:rsidRDefault="00450B0E" w:rsidP="00010AB5">
      <w:pPr>
        <w:pStyle w:val="Heading1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141EA17" w14:textId="77777777" w:rsidR="007553C7" w:rsidRDefault="00450B0E" w:rsidP="00010AB5">
      <w:pPr>
        <w:pStyle w:val="Heading1"/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Titularul func</w:t>
      </w:r>
      <w:r>
        <w:rPr>
          <w:rFonts w:ascii="Calibri" w:hAnsi="Calibri"/>
          <w:b w:val="0"/>
          <w:sz w:val="22"/>
          <w:szCs w:val="22"/>
          <w:lang w:val="ro-RO"/>
        </w:rPr>
        <w:t xml:space="preserve">ției de </w:t>
      </w:r>
      <w:r>
        <w:rPr>
          <w:rFonts w:ascii="Calibri" w:hAnsi="Calibri"/>
          <w:b w:val="0"/>
          <w:sz w:val="22"/>
          <w:szCs w:val="22"/>
        </w:rPr>
        <w:t>Ombudsman</w:t>
      </w:r>
      <w:r w:rsidRPr="00450B0E">
        <w:rPr>
          <w:rFonts w:ascii="Calibri" w:hAnsi="Calibri"/>
          <w:b w:val="0"/>
          <w:sz w:val="22"/>
          <w:szCs w:val="22"/>
        </w:rPr>
        <w:t xml:space="preserve"> este numit de Președinte</w:t>
      </w:r>
      <w:r>
        <w:rPr>
          <w:rFonts w:ascii="Calibri" w:hAnsi="Calibri"/>
          <w:b w:val="0"/>
          <w:sz w:val="22"/>
          <w:szCs w:val="22"/>
        </w:rPr>
        <w:t>le Republicii Irlandeze în urma unei rezoluții adoptate</w:t>
      </w:r>
      <w:r w:rsidRPr="00450B0E">
        <w:rPr>
          <w:rFonts w:ascii="Calibri" w:hAnsi="Calibri"/>
          <w:b w:val="0"/>
          <w:sz w:val="22"/>
          <w:szCs w:val="22"/>
        </w:rPr>
        <w:t xml:space="preserve"> de ambele camere ale Parlamentului ce recomandă numirea.</w:t>
      </w:r>
      <w:r w:rsidRPr="00450B0E">
        <w:rPr>
          <w:rStyle w:val="FootnoteReference"/>
          <w:rFonts w:ascii="Calibri" w:hAnsi="Calibri"/>
          <w:b w:val="0"/>
          <w:sz w:val="22"/>
          <w:szCs w:val="22"/>
        </w:rPr>
        <w:footnoteReference w:id="5"/>
      </w:r>
      <w:r w:rsidR="007553C7">
        <w:rPr>
          <w:rFonts w:ascii="Calibri" w:hAnsi="Calibri"/>
          <w:b w:val="0"/>
          <w:sz w:val="22"/>
          <w:szCs w:val="22"/>
        </w:rPr>
        <w:t xml:space="preserve"> P</w:t>
      </w:r>
      <w:r w:rsidRPr="00450B0E">
        <w:rPr>
          <w:rFonts w:ascii="Calibri" w:hAnsi="Calibri"/>
          <w:b w:val="0"/>
          <w:sz w:val="22"/>
          <w:szCs w:val="22"/>
        </w:rPr>
        <w:t>ersoană des</w:t>
      </w:r>
      <w:r w:rsidR="007553C7">
        <w:rPr>
          <w:rFonts w:ascii="Calibri" w:hAnsi="Calibri"/>
          <w:b w:val="0"/>
          <w:sz w:val="22"/>
          <w:szCs w:val="22"/>
        </w:rPr>
        <w:t>emnată</w:t>
      </w:r>
      <w:r w:rsidRPr="00450B0E">
        <w:rPr>
          <w:rFonts w:ascii="Calibri" w:hAnsi="Calibri"/>
          <w:b w:val="0"/>
          <w:sz w:val="22"/>
          <w:szCs w:val="22"/>
        </w:rPr>
        <w:t xml:space="preserve"> va deține funcția pentru un mandat de 6 ani și poate fi re-numit în funcție pentru un al doilea doilea mandat consecutiv sau ulterior.</w:t>
      </w:r>
      <w:r w:rsidRPr="00450B0E">
        <w:rPr>
          <w:rStyle w:val="FootnoteReference"/>
          <w:rFonts w:ascii="Calibri" w:hAnsi="Calibri"/>
          <w:b w:val="0"/>
          <w:sz w:val="22"/>
          <w:szCs w:val="22"/>
        </w:rPr>
        <w:footnoteReference w:id="6"/>
      </w:r>
    </w:p>
    <w:p w14:paraId="69ECCD43" w14:textId="77777777" w:rsidR="007553C7" w:rsidRDefault="007553C7" w:rsidP="00010AB5">
      <w:pPr>
        <w:pStyle w:val="Heading1"/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</w:p>
    <w:p w14:paraId="68307878" w14:textId="7C505CE5" w:rsidR="00450B0E" w:rsidRPr="007553C7" w:rsidRDefault="007553C7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r>
        <w:rPr>
          <w:rFonts w:ascii="Calibri" w:hAnsi="Calibri"/>
          <w:b w:val="0"/>
          <w:sz w:val="22"/>
          <w:szCs w:val="22"/>
        </w:rPr>
        <w:t>Revocarea din funcție se realizează în următoarele condiții</w:t>
      </w:r>
      <w:r w:rsidR="00450B0E" w:rsidRPr="00C77F9E">
        <w:rPr>
          <w:rStyle w:val="FootnoteReference"/>
          <w:rFonts w:ascii="Calibri" w:hAnsi="Calibri"/>
          <w:sz w:val="22"/>
          <w:szCs w:val="22"/>
        </w:rPr>
        <w:footnoteReference w:id="7"/>
      </w:r>
      <w:r>
        <w:rPr>
          <w:rFonts w:ascii="Calibri" w:hAnsi="Calibri"/>
          <w:b w:val="0"/>
          <w:sz w:val="22"/>
          <w:szCs w:val="22"/>
        </w:rPr>
        <w:t>:</w:t>
      </w:r>
    </w:p>
    <w:p w14:paraId="268A7617" w14:textId="6683B247" w:rsidR="00450B0E" w:rsidRPr="00C77F9E" w:rsidRDefault="00450B0E" w:rsidP="00010AB5">
      <w:pPr>
        <w:jc w:val="both"/>
        <w:rPr>
          <w:rFonts w:ascii="Calibri" w:hAnsi="Calibri"/>
        </w:rPr>
      </w:pPr>
      <w:r w:rsidRPr="00C77F9E">
        <w:rPr>
          <w:rFonts w:ascii="Calibri" w:hAnsi="Calibri"/>
        </w:rPr>
        <w:t xml:space="preserve">(a) poate, la cererea sa să fie eliberat </w:t>
      </w:r>
      <w:r w:rsidR="007553C7">
        <w:rPr>
          <w:rFonts w:ascii="Calibri" w:hAnsi="Calibri"/>
        </w:rPr>
        <w:t>din funcție de către președinte;</w:t>
      </w:r>
    </w:p>
    <w:p w14:paraId="28E10E19" w14:textId="784AFE25" w:rsidR="00450B0E" w:rsidRPr="00C77F9E" w:rsidRDefault="00450B0E" w:rsidP="00010AB5">
      <w:pPr>
        <w:jc w:val="both"/>
        <w:rPr>
          <w:rFonts w:ascii="Calibri" w:hAnsi="Calibri"/>
        </w:rPr>
      </w:pPr>
      <w:r w:rsidRPr="00C77F9E">
        <w:rPr>
          <w:rFonts w:ascii="Calibri" w:hAnsi="Calibri"/>
        </w:rPr>
        <w:t>(b) poate fi revocat din funcție de către președint</w:t>
      </w:r>
      <w:r w:rsidR="007553C7">
        <w:rPr>
          <w:rFonts w:ascii="Calibri" w:hAnsi="Calibri"/>
        </w:rPr>
        <w:t xml:space="preserve">e </w:t>
      </w:r>
      <w:r w:rsidRPr="00C77F9E">
        <w:rPr>
          <w:rFonts w:ascii="Calibri" w:hAnsi="Calibri"/>
        </w:rPr>
        <w:t>pentru abateri disciplinare, incapacitate sau faliment și doar după adoptarea unei rezoluții, de către ambele camere din Par</w:t>
      </w:r>
      <w:r w:rsidR="007553C7">
        <w:rPr>
          <w:rFonts w:ascii="Calibri" w:hAnsi="Calibri"/>
        </w:rPr>
        <w:t>lament, pentru îndepărtarea lui;</w:t>
      </w:r>
    </w:p>
    <w:p w14:paraId="724F593F" w14:textId="691FCCFB" w:rsidR="00010AB5" w:rsidRDefault="00450B0E" w:rsidP="00010AB5">
      <w:pPr>
        <w:jc w:val="both"/>
        <w:rPr>
          <w:rFonts w:ascii="Calibri" w:hAnsi="Calibri"/>
        </w:rPr>
      </w:pPr>
      <w:r w:rsidRPr="00C77F9E">
        <w:rPr>
          <w:rFonts w:ascii="Calibri" w:hAnsi="Calibri"/>
        </w:rPr>
        <w:t>(c) va ceda funcția după atingerea vârstei de 67 de ani.</w:t>
      </w:r>
    </w:p>
    <w:p w14:paraId="1771FEA1" w14:textId="77777777" w:rsidR="00010AB5" w:rsidRDefault="00010AB5" w:rsidP="00010AB5">
      <w:pPr>
        <w:jc w:val="both"/>
        <w:rPr>
          <w:sz w:val="24"/>
          <w:szCs w:val="24"/>
        </w:rPr>
      </w:pPr>
    </w:p>
    <w:p w14:paraId="347FFDBF" w14:textId="77777777" w:rsidR="00010AB5" w:rsidRPr="00010AB5" w:rsidRDefault="00010AB5" w:rsidP="00010AB5">
      <w:pPr>
        <w:jc w:val="both"/>
      </w:pPr>
      <w:r w:rsidRPr="00010AB5">
        <w:t>***</w:t>
      </w:r>
    </w:p>
    <w:p w14:paraId="2D364E99" w14:textId="77777777" w:rsidR="00010AB5" w:rsidRPr="00010AB5" w:rsidRDefault="00010AB5" w:rsidP="00010AB5">
      <w:pPr>
        <w:jc w:val="both"/>
      </w:pPr>
      <w:r w:rsidRPr="00010AB5">
        <w:t>Proiectul “</w:t>
      </w:r>
      <w:r w:rsidRPr="00010AB5">
        <w:rPr>
          <w:b/>
          <w:i/>
        </w:rPr>
        <w:t>Rețeaua pentru Apărarea Drepturilor Cetățenești - Ne trebuie un Avocat al Poporului eficient!</w:t>
      </w:r>
      <w:r w:rsidRPr="00010AB5">
        <w:t xml:space="preserve">” este derulat de APADOR-CH, ActiveWatch și Asociația Națională a Birourilor  de Consiliere pentru Cetățeni (ANBCC) și finanţat prin granturile SEE 2009 – 2014, în cadrul Fondului ONG în România. Pentru informaţii oficiale despre granturile SEE şi norvegiene accesaţi www.eeagrants.org. </w:t>
      </w:r>
    </w:p>
    <w:p w14:paraId="0407A635" w14:textId="77777777" w:rsidR="00010AB5" w:rsidRPr="00C77F9E" w:rsidRDefault="00010AB5" w:rsidP="00010AB5">
      <w:pPr>
        <w:jc w:val="both"/>
        <w:rPr>
          <w:rFonts w:ascii="Calibri" w:hAnsi="Calibri"/>
        </w:rPr>
      </w:pPr>
    </w:p>
    <w:p w14:paraId="471ECA82" w14:textId="77777777" w:rsidR="00450B0E" w:rsidRPr="00450B0E" w:rsidRDefault="00450B0E" w:rsidP="00010AB5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sectPr w:rsidR="00450B0E" w:rsidRPr="00450B0E" w:rsidSect="00010AB5">
      <w:headerReference w:type="default" r:id="rId16"/>
      <w:footerReference w:type="even" r:id="rId17"/>
      <w:footerReference w:type="default" r:id="rId18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3CD2C" w14:textId="77777777" w:rsidR="00A5101F" w:rsidRDefault="00A5101F" w:rsidP="00005087">
      <w:pPr>
        <w:spacing w:after="0" w:line="240" w:lineRule="auto"/>
      </w:pPr>
      <w:r>
        <w:separator/>
      </w:r>
    </w:p>
  </w:endnote>
  <w:endnote w:type="continuationSeparator" w:id="0">
    <w:p w14:paraId="06640CA0" w14:textId="77777777" w:rsidR="00A5101F" w:rsidRDefault="00A5101F" w:rsidP="0000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852D" w14:textId="77777777" w:rsidR="007B231E" w:rsidRDefault="001011E8" w:rsidP="006E3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F15D8" w14:textId="77777777" w:rsidR="007B231E" w:rsidRDefault="00A51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960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F104D" w14:textId="52731264" w:rsidR="00010AB5" w:rsidRDefault="00010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66C48" w14:textId="77777777" w:rsidR="007B231E" w:rsidRDefault="00A51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3825" w14:textId="77777777" w:rsidR="00A5101F" w:rsidRDefault="00A5101F" w:rsidP="00005087">
      <w:pPr>
        <w:spacing w:after="0" w:line="240" w:lineRule="auto"/>
      </w:pPr>
      <w:r>
        <w:separator/>
      </w:r>
    </w:p>
  </w:footnote>
  <w:footnote w:type="continuationSeparator" w:id="0">
    <w:p w14:paraId="30B124AC" w14:textId="77777777" w:rsidR="00A5101F" w:rsidRDefault="00A5101F" w:rsidP="00005087">
      <w:pPr>
        <w:spacing w:after="0" w:line="240" w:lineRule="auto"/>
      </w:pPr>
      <w:r>
        <w:continuationSeparator/>
      </w:r>
    </w:p>
  </w:footnote>
  <w:footnote w:id="1">
    <w:p w14:paraId="5473861F" w14:textId="303ECFA0" w:rsidR="00D11A15" w:rsidRPr="00D11A15" w:rsidRDefault="00D11A1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Raport anual 2014, Chapter 1</w:t>
      </w:r>
      <w:r>
        <w:rPr>
          <w:lang w:val="en-GB"/>
        </w:rPr>
        <w:t xml:space="preserve">: Introduction from the Ombudsman, </w:t>
      </w:r>
      <w:hyperlink r:id="rId1" w:history="1">
        <w:r w:rsidRPr="006063F5">
          <w:rPr>
            <w:rStyle w:val="Hyperlink"/>
            <w:lang w:val="en-GB"/>
          </w:rPr>
          <w:t>http://www.ombudsman.gov.ie/en/Publications/Annual-Reports/2014-Annual-Report/AnnualReport2014/chapter1.html</w:t>
        </w:r>
      </w:hyperlink>
      <w:r>
        <w:rPr>
          <w:lang w:val="en-GB"/>
        </w:rPr>
        <w:t xml:space="preserve">; </w:t>
      </w:r>
    </w:p>
  </w:footnote>
  <w:footnote w:id="2">
    <w:p w14:paraId="27BFC61D" w14:textId="10B9B518" w:rsidR="00843F5C" w:rsidRPr="00843F5C" w:rsidRDefault="00843F5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Senior Management Team, </w:t>
      </w:r>
      <w:hyperlink r:id="rId2" w:history="1">
        <w:r w:rsidRPr="006063F5">
          <w:rPr>
            <w:rStyle w:val="Hyperlink"/>
            <w:lang w:val="ro-RO"/>
          </w:rPr>
          <w:t>www.ombudsman.gov.ie</w:t>
        </w:r>
      </w:hyperlink>
      <w:r>
        <w:rPr>
          <w:lang w:val="ro-RO"/>
        </w:rPr>
        <w:t xml:space="preserve">, </w:t>
      </w:r>
      <w:hyperlink r:id="rId3" w:history="1">
        <w:r w:rsidRPr="006063F5">
          <w:rPr>
            <w:rStyle w:val="Hyperlink"/>
            <w:lang w:val="ro-RO"/>
          </w:rPr>
          <w:t>http://www.ombudsman.gov.ie/en/About-Us/The-Ombudsman's-Office/Senior-Management-Team/</w:t>
        </w:r>
      </w:hyperlink>
      <w:r>
        <w:rPr>
          <w:lang w:val="en-GB"/>
        </w:rPr>
        <w:t xml:space="preserve">; </w:t>
      </w:r>
    </w:p>
  </w:footnote>
  <w:footnote w:id="3">
    <w:p w14:paraId="4E3BE9BA" w14:textId="0A779DE3" w:rsidR="00E07583" w:rsidRPr="00E07583" w:rsidRDefault="00E07583" w:rsidP="00E0758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Public bodies under remit from 1</w:t>
      </w:r>
      <w:r w:rsidRPr="00E07583">
        <w:rPr>
          <w:vertAlign w:val="superscript"/>
        </w:rPr>
        <w:t>st</w:t>
      </w:r>
      <w:r>
        <w:t xml:space="preserve"> May 2013, </w:t>
      </w:r>
      <w:hyperlink r:id="rId4" w:history="1">
        <w:r w:rsidRPr="006063F5">
          <w:rPr>
            <w:rStyle w:val="Hyperlink"/>
          </w:rPr>
          <w:t>www.ombudsman.gov.ie</w:t>
        </w:r>
      </w:hyperlink>
      <w:r>
        <w:t xml:space="preserve">, </w:t>
      </w:r>
      <w:hyperlink r:id="rId5" w:history="1">
        <w:r w:rsidRPr="006063F5">
          <w:rPr>
            <w:rStyle w:val="Hyperlink"/>
          </w:rPr>
          <w:t>http://www.ombudsman.gov.ie/en/About-Us/Legi</w:t>
        </w:r>
        <w:bookmarkStart w:id="0" w:name="_GoBack"/>
        <w:bookmarkEnd w:id="0"/>
        <w:r w:rsidRPr="006063F5">
          <w:rPr>
            <w:rStyle w:val="Hyperlink"/>
          </w:rPr>
          <w:t>slation/Ombudsman-Amendment-Act-2012/Bodies-under-remit-from-May-2013/</w:t>
        </w:r>
      </w:hyperlink>
      <w:r>
        <w:rPr>
          <w:lang w:val="en-GB"/>
        </w:rPr>
        <w:t xml:space="preserve">; </w:t>
      </w:r>
    </w:p>
  </w:footnote>
  <w:footnote w:id="4">
    <w:p w14:paraId="6D98D02D" w14:textId="77777777" w:rsidR="007553C7" w:rsidRDefault="007553C7" w:rsidP="007553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13D">
        <w:t>http://www.ombudsman.gov.ie/en/Publications/Annual-Reports/2014-Annual-Report/AnnualReport2014/index.html</w:t>
      </w:r>
    </w:p>
  </w:footnote>
  <w:footnote w:id="5">
    <w:p w14:paraId="55F6A28A" w14:textId="77777777" w:rsidR="00450B0E" w:rsidRDefault="00450B0E" w:rsidP="00450B0E">
      <w:pPr>
        <w:pStyle w:val="FootnoteText"/>
      </w:pPr>
      <w:r>
        <w:rPr>
          <w:rStyle w:val="FootnoteReference"/>
        </w:rPr>
        <w:footnoteRef/>
      </w:r>
      <w:r>
        <w:t xml:space="preserve"> Art. 2, alin. (2) Legea Ombudsmanului din 1980</w:t>
      </w:r>
    </w:p>
  </w:footnote>
  <w:footnote w:id="6">
    <w:p w14:paraId="71C66424" w14:textId="3D50F3D2" w:rsidR="00450B0E" w:rsidRPr="009C2A66" w:rsidRDefault="00450B0E" w:rsidP="00450B0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Art. 2, alin. (4) Legea Ombudsmanului din 1980</w:t>
      </w:r>
      <w:r w:rsidR="009C2A66">
        <w:rPr>
          <w:lang w:val="en-GB"/>
        </w:rPr>
        <w:t>;</w:t>
      </w:r>
    </w:p>
  </w:footnote>
  <w:footnote w:id="7">
    <w:p w14:paraId="62FCBB60" w14:textId="65A694B5" w:rsidR="00450B0E" w:rsidRDefault="00450B0E" w:rsidP="00450B0E">
      <w:pPr>
        <w:pStyle w:val="FootnoteText"/>
      </w:pPr>
      <w:r>
        <w:rPr>
          <w:rStyle w:val="FootnoteReference"/>
        </w:rPr>
        <w:footnoteRef/>
      </w:r>
      <w:r>
        <w:t xml:space="preserve"> Art. 2, alin. (3) Legea Ombudsmanului din 1980</w:t>
      </w:r>
      <w:r w:rsidR="009C2A6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2C5B" w14:textId="1FDC1DE0" w:rsidR="00010AB5" w:rsidRDefault="00010AB5" w:rsidP="00010AB5">
    <w:pPr>
      <w:pStyle w:val="Header"/>
      <w:tabs>
        <w:tab w:val="left" w:pos="-900"/>
      </w:tabs>
      <w:ind w:left="-1260" w:right="-99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7AFF21" wp14:editId="7A656B8E">
          <wp:simplePos x="0" y="0"/>
          <wp:positionH relativeFrom="column">
            <wp:posOffset>-685800</wp:posOffset>
          </wp:positionH>
          <wp:positionV relativeFrom="paragraph">
            <wp:posOffset>-247650</wp:posOffset>
          </wp:positionV>
          <wp:extent cx="2120900" cy="1371600"/>
          <wp:effectExtent l="0" t="0" r="0" b="0"/>
          <wp:wrapNone/>
          <wp:docPr id="15" name="Picture 1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ba_rotat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9A818E" wp14:editId="585BC190">
          <wp:simplePos x="0" y="0"/>
          <wp:positionH relativeFrom="column">
            <wp:posOffset>5486400</wp:posOffset>
          </wp:positionH>
          <wp:positionV relativeFrom="paragraph">
            <wp:posOffset>-247650</wp:posOffset>
          </wp:positionV>
          <wp:extent cx="923925" cy="614045"/>
          <wp:effectExtent l="0" t="0" r="9525" b="0"/>
          <wp:wrapNone/>
          <wp:docPr id="16" name="Picture 16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 Gra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  <w:p w14:paraId="34D77DFE" w14:textId="77777777" w:rsidR="00010AB5" w:rsidRDefault="00010AB5" w:rsidP="00010AB5">
    <w:pPr>
      <w:pStyle w:val="Header"/>
    </w:pPr>
  </w:p>
  <w:p w14:paraId="7600FC6D" w14:textId="77777777" w:rsidR="00010AB5" w:rsidRDefault="00010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2A"/>
    <w:multiLevelType w:val="hybridMultilevel"/>
    <w:tmpl w:val="DDE2B5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40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C51AB"/>
    <w:multiLevelType w:val="hybridMultilevel"/>
    <w:tmpl w:val="8F9005F0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511"/>
    <w:multiLevelType w:val="hybridMultilevel"/>
    <w:tmpl w:val="57F274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442"/>
    <w:multiLevelType w:val="hybridMultilevel"/>
    <w:tmpl w:val="2F0A007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A58"/>
    <w:multiLevelType w:val="hybridMultilevel"/>
    <w:tmpl w:val="059223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448"/>
    <w:multiLevelType w:val="hybridMultilevel"/>
    <w:tmpl w:val="E28486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7CD6"/>
    <w:multiLevelType w:val="hybridMultilevel"/>
    <w:tmpl w:val="6F7C566C"/>
    <w:lvl w:ilvl="0" w:tplc="D682F94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17AA"/>
    <w:multiLevelType w:val="hybridMultilevel"/>
    <w:tmpl w:val="27B23F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273F"/>
    <w:multiLevelType w:val="hybridMultilevel"/>
    <w:tmpl w:val="D0864F3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F3DA9"/>
    <w:multiLevelType w:val="hybridMultilevel"/>
    <w:tmpl w:val="8536C7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40A32"/>
    <w:multiLevelType w:val="hybridMultilevel"/>
    <w:tmpl w:val="42ECD2F6"/>
    <w:lvl w:ilvl="0" w:tplc="139A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F7C40"/>
    <w:multiLevelType w:val="hybridMultilevel"/>
    <w:tmpl w:val="E65E2C16"/>
    <w:lvl w:ilvl="0" w:tplc="7AD0F7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FB44D9"/>
    <w:multiLevelType w:val="hybridMultilevel"/>
    <w:tmpl w:val="F43E95AA"/>
    <w:lvl w:ilvl="0" w:tplc="0418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4B52764"/>
    <w:multiLevelType w:val="hybridMultilevel"/>
    <w:tmpl w:val="D53CECE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A78D6"/>
    <w:multiLevelType w:val="hybridMultilevel"/>
    <w:tmpl w:val="060EB5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2EA4"/>
    <w:multiLevelType w:val="hybridMultilevel"/>
    <w:tmpl w:val="3E2EFEEA"/>
    <w:lvl w:ilvl="0" w:tplc="B8A422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0701C"/>
    <w:multiLevelType w:val="hybridMultilevel"/>
    <w:tmpl w:val="B524B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2420"/>
    <w:multiLevelType w:val="hybridMultilevel"/>
    <w:tmpl w:val="6A9678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8"/>
  </w:num>
  <w:num w:numId="5">
    <w:abstractNumId w:val="11"/>
  </w:num>
  <w:num w:numId="6">
    <w:abstractNumId w:val="10"/>
  </w:num>
  <w:num w:numId="7">
    <w:abstractNumId w:val="15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16"/>
  </w:num>
  <w:num w:numId="13">
    <w:abstractNumId w:val="1"/>
  </w:num>
  <w:num w:numId="14">
    <w:abstractNumId w:val="9"/>
  </w:num>
  <w:num w:numId="15">
    <w:abstractNumId w:val="4"/>
  </w:num>
  <w:num w:numId="16">
    <w:abstractNumId w:val="0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2"/>
    <w:rsid w:val="00004E2A"/>
    <w:rsid w:val="00005087"/>
    <w:rsid w:val="00005541"/>
    <w:rsid w:val="00005B03"/>
    <w:rsid w:val="00010493"/>
    <w:rsid w:val="00010AB5"/>
    <w:rsid w:val="00011F55"/>
    <w:rsid w:val="0001257D"/>
    <w:rsid w:val="00017488"/>
    <w:rsid w:val="00021558"/>
    <w:rsid w:val="0002554E"/>
    <w:rsid w:val="000265C9"/>
    <w:rsid w:val="000269AA"/>
    <w:rsid w:val="0003141C"/>
    <w:rsid w:val="00032B3A"/>
    <w:rsid w:val="00035ED2"/>
    <w:rsid w:val="0003619E"/>
    <w:rsid w:val="00043122"/>
    <w:rsid w:val="0005038E"/>
    <w:rsid w:val="00051C08"/>
    <w:rsid w:val="00054829"/>
    <w:rsid w:val="00056AD5"/>
    <w:rsid w:val="0006221C"/>
    <w:rsid w:val="0006236A"/>
    <w:rsid w:val="000631C7"/>
    <w:rsid w:val="00063363"/>
    <w:rsid w:val="00067573"/>
    <w:rsid w:val="00071DAF"/>
    <w:rsid w:val="00077E29"/>
    <w:rsid w:val="000855D9"/>
    <w:rsid w:val="000861BD"/>
    <w:rsid w:val="00087C45"/>
    <w:rsid w:val="000950CB"/>
    <w:rsid w:val="0009513C"/>
    <w:rsid w:val="00096D77"/>
    <w:rsid w:val="000A24B9"/>
    <w:rsid w:val="000A4667"/>
    <w:rsid w:val="000A529C"/>
    <w:rsid w:val="000A616B"/>
    <w:rsid w:val="000B15FE"/>
    <w:rsid w:val="000C1972"/>
    <w:rsid w:val="000C3E13"/>
    <w:rsid w:val="000D7D78"/>
    <w:rsid w:val="000E52D1"/>
    <w:rsid w:val="000E7015"/>
    <w:rsid w:val="000F1B21"/>
    <w:rsid w:val="000F7C9E"/>
    <w:rsid w:val="001011E8"/>
    <w:rsid w:val="001017BA"/>
    <w:rsid w:val="00101DFE"/>
    <w:rsid w:val="00107899"/>
    <w:rsid w:val="001126C1"/>
    <w:rsid w:val="001200B8"/>
    <w:rsid w:val="00121EFE"/>
    <w:rsid w:val="00125010"/>
    <w:rsid w:val="00125C76"/>
    <w:rsid w:val="00127E04"/>
    <w:rsid w:val="00127FBC"/>
    <w:rsid w:val="0013360A"/>
    <w:rsid w:val="00134E1D"/>
    <w:rsid w:val="00143791"/>
    <w:rsid w:val="00145F37"/>
    <w:rsid w:val="001476B3"/>
    <w:rsid w:val="00150691"/>
    <w:rsid w:val="001506D5"/>
    <w:rsid w:val="00151714"/>
    <w:rsid w:val="00152C06"/>
    <w:rsid w:val="001563F9"/>
    <w:rsid w:val="00161C04"/>
    <w:rsid w:val="00164529"/>
    <w:rsid w:val="00165CB2"/>
    <w:rsid w:val="00166C0E"/>
    <w:rsid w:val="00170930"/>
    <w:rsid w:val="0017301D"/>
    <w:rsid w:val="00173A01"/>
    <w:rsid w:val="00174CBA"/>
    <w:rsid w:val="00176715"/>
    <w:rsid w:val="001770BC"/>
    <w:rsid w:val="001800D3"/>
    <w:rsid w:val="00186487"/>
    <w:rsid w:val="001866DB"/>
    <w:rsid w:val="00195171"/>
    <w:rsid w:val="00196A5D"/>
    <w:rsid w:val="00197733"/>
    <w:rsid w:val="001A102A"/>
    <w:rsid w:val="001A163D"/>
    <w:rsid w:val="001A2AEC"/>
    <w:rsid w:val="001A32EC"/>
    <w:rsid w:val="001A4057"/>
    <w:rsid w:val="001A4C52"/>
    <w:rsid w:val="001A6870"/>
    <w:rsid w:val="001A7F6A"/>
    <w:rsid w:val="001B06D9"/>
    <w:rsid w:val="001B0803"/>
    <w:rsid w:val="001B0AA0"/>
    <w:rsid w:val="001B1730"/>
    <w:rsid w:val="001B507B"/>
    <w:rsid w:val="001B51A1"/>
    <w:rsid w:val="001C22CE"/>
    <w:rsid w:val="001C2BA0"/>
    <w:rsid w:val="001C500D"/>
    <w:rsid w:val="001E2EA2"/>
    <w:rsid w:val="001E2F37"/>
    <w:rsid w:val="001E7D44"/>
    <w:rsid w:val="001F2346"/>
    <w:rsid w:val="001F5DC7"/>
    <w:rsid w:val="001F5F0E"/>
    <w:rsid w:val="00202F07"/>
    <w:rsid w:val="00205790"/>
    <w:rsid w:val="00206A26"/>
    <w:rsid w:val="00210A5B"/>
    <w:rsid w:val="0021475A"/>
    <w:rsid w:val="00216390"/>
    <w:rsid w:val="00226537"/>
    <w:rsid w:val="00226CBB"/>
    <w:rsid w:val="00227FAA"/>
    <w:rsid w:val="00230E39"/>
    <w:rsid w:val="0023523B"/>
    <w:rsid w:val="00240899"/>
    <w:rsid w:val="00241E73"/>
    <w:rsid w:val="00250631"/>
    <w:rsid w:val="0025181A"/>
    <w:rsid w:val="0026452E"/>
    <w:rsid w:val="002671C4"/>
    <w:rsid w:val="00273539"/>
    <w:rsid w:val="00282228"/>
    <w:rsid w:val="002854E6"/>
    <w:rsid w:val="00290C0A"/>
    <w:rsid w:val="002913B0"/>
    <w:rsid w:val="00294BBF"/>
    <w:rsid w:val="002956F9"/>
    <w:rsid w:val="002A5CD4"/>
    <w:rsid w:val="002B2272"/>
    <w:rsid w:val="002B7C6F"/>
    <w:rsid w:val="002F65E5"/>
    <w:rsid w:val="002F707B"/>
    <w:rsid w:val="00307D35"/>
    <w:rsid w:val="00317AAE"/>
    <w:rsid w:val="00320F52"/>
    <w:rsid w:val="00322AD8"/>
    <w:rsid w:val="00326209"/>
    <w:rsid w:val="00330201"/>
    <w:rsid w:val="00331EF5"/>
    <w:rsid w:val="00357F8B"/>
    <w:rsid w:val="0036330A"/>
    <w:rsid w:val="00365BA1"/>
    <w:rsid w:val="00383861"/>
    <w:rsid w:val="003857AD"/>
    <w:rsid w:val="003868DB"/>
    <w:rsid w:val="003879DA"/>
    <w:rsid w:val="00392698"/>
    <w:rsid w:val="003936CC"/>
    <w:rsid w:val="003B0DB6"/>
    <w:rsid w:val="003C15C3"/>
    <w:rsid w:val="003C1FAE"/>
    <w:rsid w:val="003C66E6"/>
    <w:rsid w:val="003D5047"/>
    <w:rsid w:val="003D54BC"/>
    <w:rsid w:val="003E2184"/>
    <w:rsid w:val="003E32BA"/>
    <w:rsid w:val="003F6848"/>
    <w:rsid w:val="004018D8"/>
    <w:rsid w:val="00411B7B"/>
    <w:rsid w:val="00411FE3"/>
    <w:rsid w:val="0041301B"/>
    <w:rsid w:val="004314B1"/>
    <w:rsid w:val="004322E7"/>
    <w:rsid w:val="0043344F"/>
    <w:rsid w:val="004348E8"/>
    <w:rsid w:val="00436EFA"/>
    <w:rsid w:val="0044319A"/>
    <w:rsid w:val="0044417B"/>
    <w:rsid w:val="00445D3A"/>
    <w:rsid w:val="00447AF0"/>
    <w:rsid w:val="00447E3E"/>
    <w:rsid w:val="00450B0E"/>
    <w:rsid w:val="00452155"/>
    <w:rsid w:val="00452A64"/>
    <w:rsid w:val="004540D0"/>
    <w:rsid w:val="004559AB"/>
    <w:rsid w:val="00457B2D"/>
    <w:rsid w:val="00457B4F"/>
    <w:rsid w:val="004627A2"/>
    <w:rsid w:val="00462C9B"/>
    <w:rsid w:val="00466E5A"/>
    <w:rsid w:val="00472E0B"/>
    <w:rsid w:val="00481715"/>
    <w:rsid w:val="00486439"/>
    <w:rsid w:val="0049506D"/>
    <w:rsid w:val="0049696C"/>
    <w:rsid w:val="004B54BF"/>
    <w:rsid w:val="004B5BB3"/>
    <w:rsid w:val="004C3DEE"/>
    <w:rsid w:val="004C7815"/>
    <w:rsid w:val="004D0341"/>
    <w:rsid w:val="004E67F3"/>
    <w:rsid w:val="004E6C54"/>
    <w:rsid w:val="004E7030"/>
    <w:rsid w:val="004F3BF6"/>
    <w:rsid w:val="0050373C"/>
    <w:rsid w:val="00510C1A"/>
    <w:rsid w:val="00514C7B"/>
    <w:rsid w:val="00520BD4"/>
    <w:rsid w:val="0052348B"/>
    <w:rsid w:val="0052522B"/>
    <w:rsid w:val="00530364"/>
    <w:rsid w:val="00531B58"/>
    <w:rsid w:val="005429A3"/>
    <w:rsid w:val="00546B23"/>
    <w:rsid w:val="00554621"/>
    <w:rsid w:val="00562D25"/>
    <w:rsid w:val="00564617"/>
    <w:rsid w:val="0057099C"/>
    <w:rsid w:val="005846E7"/>
    <w:rsid w:val="00585C94"/>
    <w:rsid w:val="00594E4E"/>
    <w:rsid w:val="005961C9"/>
    <w:rsid w:val="005A2D91"/>
    <w:rsid w:val="005A7981"/>
    <w:rsid w:val="005B16AB"/>
    <w:rsid w:val="005B3FA9"/>
    <w:rsid w:val="005B768E"/>
    <w:rsid w:val="005C245B"/>
    <w:rsid w:val="005D018C"/>
    <w:rsid w:val="005D34A8"/>
    <w:rsid w:val="005D5DE1"/>
    <w:rsid w:val="005D779E"/>
    <w:rsid w:val="005E0D99"/>
    <w:rsid w:val="005E3BAB"/>
    <w:rsid w:val="005E529E"/>
    <w:rsid w:val="005E6329"/>
    <w:rsid w:val="005F2882"/>
    <w:rsid w:val="005F2B40"/>
    <w:rsid w:val="005F5946"/>
    <w:rsid w:val="00600741"/>
    <w:rsid w:val="00601606"/>
    <w:rsid w:val="00604FFD"/>
    <w:rsid w:val="00606C97"/>
    <w:rsid w:val="00612294"/>
    <w:rsid w:val="0061669A"/>
    <w:rsid w:val="00621DE5"/>
    <w:rsid w:val="00626248"/>
    <w:rsid w:val="006275BF"/>
    <w:rsid w:val="006319E1"/>
    <w:rsid w:val="00632C55"/>
    <w:rsid w:val="0063785F"/>
    <w:rsid w:val="006410D0"/>
    <w:rsid w:val="006420C2"/>
    <w:rsid w:val="006430AE"/>
    <w:rsid w:val="00646EAC"/>
    <w:rsid w:val="006473B0"/>
    <w:rsid w:val="0065092D"/>
    <w:rsid w:val="00654524"/>
    <w:rsid w:val="00654AC9"/>
    <w:rsid w:val="00666AEA"/>
    <w:rsid w:val="00685F52"/>
    <w:rsid w:val="00692958"/>
    <w:rsid w:val="006A1D67"/>
    <w:rsid w:val="006A6D94"/>
    <w:rsid w:val="006C0B0C"/>
    <w:rsid w:val="006C1300"/>
    <w:rsid w:val="006C423B"/>
    <w:rsid w:val="006C4DA0"/>
    <w:rsid w:val="006C5124"/>
    <w:rsid w:val="006D61B4"/>
    <w:rsid w:val="006D7E62"/>
    <w:rsid w:val="006E4F18"/>
    <w:rsid w:val="006E5FD2"/>
    <w:rsid w:val="006E6CFE"/>
    <w:rsid w:val="006E79A4"/>
    <w:rsid w:val="006F3575"/>
    <w:rsid w:val="00707712"/>
    <w:rsid w:val="007132D3"/>
    <w:rsid w:val="00715871"/>
    <w:rsid w:val="00715AC8"/>
    <w:rsid w:val="00715CD5"/>
    <w:rsid w:val="00716A72"/>
    <w:rsid w:val="00721A72"/>
    <w:rsid w:val="0072377C"/>
    <w:rsid w:val="0073373F"/>
    <w:rsid w:val="00742D17"/>
    <w:rsid w:val="00745586"/>
    <w:rsid w:val="00745803"/>
    <w:rsid w:val="007468F1"/>
    <w:rsid w:val="007511E3"/>
    <w:rsid w:val="00752BC5"/>
    <w:rsid w:val="007553C7"/>
    <w:rsid w:val="00756501"/>
    <w:rsid w:val="007574EA"/>
    <w:rsid w:val="00767FAD"/>
    <w:rsid w:val="007713A1"/>
    <w:rsid w:val="007736D8"/>
    <w:rsid w:val="00780014"/>
    <w:rsid w:val="0078235C"/>
    <w:rsid w:val="00782B3B"/>
    <w:rsid w:val="007908D7"/>
    <w:rsid w:val="00791F4B"/>
    <w:rsid w:val="007945E6"/>
    <w:rsid w:val="007B4C61"/>
    <w:rsid w:val="007C3D82"/>
    <w:rsid w:val="007C4C29"/>
    <w:rsid w:val="007D30D2"/>
    <w:rsid w:val="007D62F7"/>
    <w:rsid w:val="007E0DB4"/>
    <w:rsid w:val="007E1DE8"/>
    <w:rsid w:val="007E51BA"/>
    <w:rsid w:val="007E666B"/>
    <w:rsid w:val="007F0B05"/>
    <w:rsid w:val="007F6493"/>
    <w:rsid w:val="007F7ACB"/>
    <w:rsid w:val="00800CC2"/>
    <w:rsid w:val="00801693"/>
    <w:rsid w:val="0080550E"/>
    <w:rsid w:val="00817396"/>
    <w:rsid w:val="008215C6"/>
    <w:rsid w:val="00831E51"/>
    <w:rsid w:val="00831EE1"/>
    <w:rsid w:val="00835031"/>
    <w:rsid w:val="00841C59"/>
    <w:rsid w:val="00843F5C"/>
    <w:rsid w:val="00847729"/>
    <w:rsid w:val="00860F98"/>
    <w:rsid w:val="008616D4"/>
    <w:rsid w:val="00863489"/>
    <w:rsid w:val="00873188"/>
    <w:rsid w:val="00875473"/>
    <w:rsid w:val="00880085"/>
    <w:rsid w:val="00880A63"/>
    <w:rsid w:val="00881360"/>
    <w:rsid w:val="00887A34"/>
    <w:rsid w:val="00895E45"/>
    <w:rsid w:val="00897E82"/>
    <w:rsid w:val="008A1531"/>
    <w:rsid w:val="008A2678"/>
    <w:rsid w:val="008A2C3D"/>
    <w:rsid w:val="008B00BA"/>
    <w:rsid w:val="008B016D"/>
    <w:rsid w:val="008B62BD"/>
    <w:rsid w:val="008C4971"/>
    <w:rsid w:val="008C50D6"/>
    <w:rsid w:val="008D06C1"/>
    <w:rsid w:val="008D7EAD"/>
    <w:rsid w:val="008F380E"/>
    <w:rsid w:val="00900A56"/>
    <w:rsid w:val="0091296F"/>
    <w:rsid w:val="009130E6"/>
    <w:rsid w:val="009170C1"/>
    <w:rsid w:val="0092196E"/>
    <w:rsid w:val="00921B1B"/>
    <w:rsid w:val="00922F9B"/>
    <w:rsid w:val="00923FA6"/>
    <w:rsid w:val="00924CAC"/>
    <w:rsid w:val="00926A1A"/>
    <w:rsid w:val="00934AB1"/>
    <w:rsid w:val="00941D64"/>
    <w:rsid w:val="0094697F"/>
    <w:rsid w:val="00946B8C"/>
    <w:rsid w:val="00952961"/>
    <w:rsid w:val="00954CE2"/>
    <w:rsid w:val="00954DF3"/>
    <w:rsid w:val="0095547D"/>
    <w:rsid w:val="00955D75"/>
    <w:rsid w:val="009624C3"/>
    <w:rsid w:val="00980422"/>
    <w:rsid w:val="009835B1"/>
    <w:rsid w:val="00984A2C"/>
    <w:rsid w:val="009945A5"/>
    <w:rsid w:val="00997D2D"/>
    <w:rsid w:val="009B0F1C"/>
    <w:rsid w:val="009B17F0"/>
    <w:rsid w:val="009B2A54"/>
    <w:rsid w:val="009B5376"/>
    <w:rsid w:val="009C1BBB"/>
    <w:rsid w:val="009C2A66"/>
    <w:rsid w:val="009D06C0"/>
    <w:rsid w:val="009D1DB2"/>
    <w:rsid w:val="009D60A1"/>
    <w:rsid w:val="009D6391"/>
    <w:rsid w:val="009E65E7"/>
    <w:rsid w:val="009E753F"/>
    <w:rsid w:val="009F50E1"/>
    <w:rsid w:val="00A03C73"/>
    <w:rsid w:val="00A076A4"/>
    <w:rsid w:val="00A117B4"/>
    <w:rsid w:val="00A17614"/>
    <w:rsid w:val="00A2227D"/>
    <w:rsid w:val="00A22853"/>
    <w:rsid w:val="00A2533E"/>
    <w:rsid w:val="00A404A3"/>
    <w:rsid w:val="00A41FFA"/>
    <w:rsid w:val="00A5101F"/>
    <w:rsid w:val="00A526A7"/>
    <w:rsid w:val="00A63F47"/>
    <w:rsid w:val="00A65B7E"/>
    <w:rsid w:val="00A67195"/>
    <w:rsid w:val="00A70CBA"/>
    <w:rsid w:val="00A81D7F"/>
    <w:rsid w:val="00A83773"/>
    <w:rsid w:val="00A92253"/>
    <w:rsid w:val="00A9644C"/>
    <w:rsid w:val="00A97C0A"/>
    <w:rsid w:val="00AA3765"/>
    <w:rsid w:val="00AA45CA"/>
    <w:rsid w:val="00AA704A"/>
    <w:rsid w:val="00AC2B23"/>
    <w:rsid w:val="00AC4862"/>
    <w:rsid w:val="00AC526B"/>
    <w:rsid w:val="00AD4A75"/>
    <w:rsid w:val="00AD68CB"/>
    <w:rsid w:val="00AE3549"/>
    <w:rsid w:val="00B021E7"/>
    <w:rsid w:val="00B0714E"/>
    <w:rsid w:val="00B074B5"/>
    <w:rsid w:val="00B21872"/>
    <w:rsid w:val="00B26744"/>
    <w:rsid w:val="00B302F4"/>
    <w:rsid w:val="00B43683"/>
    <w:rsid w:val="00B44E5B"/>
    <w:rsid w:val="00B520A3"/>
    <w:rsid w:val="00B62822"/>
    <w:rsid w:val="00B64E0E"/>
    <w:rsid w:val="00B81D2F"/>
    <w:rsid w:val="00B93DD4"/>
    <w:rsid w:val="00B94786"/>
    <w:rsid w:val="00B95603"/>
    <w:rsid w:val="00BA118E"/>
    <w:rsid w:val="00BA1B94"/>
    <w:rsid w:val="00BA3EA2"/>
    <w:rsid w:val="00BA6D96"/>
    <w:rsid w:val="00BB3ADC"/>
    <w:rsid w:val="00BB7ABD"/>
    <w:rsid w:val="00BC2D26"/>
    <w:rsid w:val="00BC2DAE"/>
    <w:rsid w:val="00BD2CCC"/>
    <w:rsid w:val="00BD49D9"/>
    <w:rsid w:val="00BD6916"/>
    <w:rsid w:val="00BE2E5E"/>
    <w:rsid w:val="00BE63D9"/>
    <w:rsid w:val="00BE7288"/>
    <w:rsid w:val="00BF79D2"/>
    <w:rsid w:val="00C03C31"/>
    <w:rsid w:val="00C054DC"/>
    <w:rsid w:val="00C0658C"/>
    <w:rsid w:val="00C06874"/>
    <w:rsid w:val="00C144AA"/>
    <w:rsid w:val="00C15606"/>
    <w:rsid w:val="00C17569"/>
    <w:rsid w:val="00C32658"/>
    <w:rsid w:val="00C34AEA"/>
    <w:rsid w:val="00C42932"/>
    <w:rsid w:val="00C47E61"/>
    <w:rsid w:val="00C5174C"/>
    <w:rsid w:val="00C53190"/>
    <w:rsid w:val="00C549CB"/>
    <w:rsid w:val="00C57815"/>
    <w:rsid w:val="00C70816"/>
    <w:rsid w:val="00C72627"/>
    <w:rsid w:val="00C819D4"/>
    <w:rsid w:val="00CA1EEC"/>
    <w:rsid w:val="00CA6030"/>
    <w:rsid w:val="00CA66CF"/>
    <w:rsid w:val="00CB29EA"/>
    <w:rsid w:val="00CB449F"/>
    <w:rsid w:val="00CB63AF"/>
    <w:rsid w:val="00CB77E6"/>
    <w:rsid w:val="00CC1A4C"/>
    <w:rsid w:val="00CC2E8E"/>
    <w:rsid w:val="00CC58CF"/>
    <w:rsid w:val="00CC7D02"/>
    <w:rsid w:val="00CE4D7D"/>
    <w:rsid w:val="00CE5A80"/>
    <w:rsid w:val="00CE729A"/>
    <w:rsid w:val="00D06B69"/>
    <w:rsid w:val="00D07DAD"/>
    <w:rsid w:val="00D11A15"/>
    <w:rsid w:val="00D2462F"/>
    <w:rsid w:val="00D25411"/>
    <w:rsid w:val="00D25A56"/>
    <w:rsid w:val="00D260A4"/>
    <w:rsid w:val="00D312D9"/>
    <w:rsid w:val="00D31487"/>
    <w:rsid w:val="00D31A1A"/>
    <w:rsid w:val="00D34643"/>
    <w:rsid w:val="00D43258"/>
    <w:rsid w:val="00D54428"/>
    <w:rsid w:val="00D55618"/>
    <w:rsid w:val="00D56A5F"/>
    <w:rsid w:val="00D6486A"/>
    <w:rsid w:val="00D7048D"/>
    <w:rsid w:val="00D7344E"/>
    <w:rsid w:val="00D762D3"/>
    <w:rsid w:val="00D76747"/>
    <w:rsid w:val="00D77E93"/>
    <w:rsid w:val="00D823D4"/>
    <w:rsid w:val="00D833F2"/>
    <w:rsid w:val="00D86D91"/>
    <w:rsid w:val="00D87540"/>
    <w:rsid w:val="00D9043D"/>
    <w:rsid w:val="00D910D6"/>
    <w:rsid w:val="00D911F7"/>
    <w:rsid w:val="00D926EA"/>
    <w:rsid w:val="00D92AAD"/>
    <w:rsid w:val="00D93357"/>
    <w:rsid w:val="00D96142"/>
    <w:rsid w:val="00DA26AA"/>
    <w:rsid w:val="00DA30E4"/>
    <w:rsid w:val="00DA4E5D"/>
    <w:rsid w:val="00DA65DC"/>
    <w:rsid w:val="00DB3229"/>
    <w:rsid w:val="00DC2A7C"/>
    <w:rsid w:val="00DC720C"/>
    <w:rsid w:val="00DC7B35"/>
    <w:rsid w:val="00DD0D96"/>
    <w:rsid w:val="00DD295C"/>
    <w:rsid w:val="00DE026F"/>
    <w:rsid w:val="00DE185F"/>
    <w:rsid w:val="00DE2B32"/>
    <w:rsid w:val="00DE4121"/>
    <w:rsid w:val="00DF39DA"/>
    <w:rsid w:val="00DF442B"/>
    <w:rsid w:val="00E02279"/>
    <w:rsid w:val="00E02E6F"/>
    <w:rsid w:val="00E07583"/>
    <w:rsid w:val="00E174E8"/>
    <w:rsid w:val="00E23E77"/>
    <w:rsid w:val="00E26D52"/>
    <w:rsid w:val="00E30BE3"/>
    <w:rsid w:val="00E35C74"/>
    <w:rsid w:val="00E365D1"/>
    <w:rsid w:val="00E36E76"/>
    <w:rsid w:val="00E411B8"/>
    <w:rsid w:val="00E4610F"/>
    <w:rsid w:val="00E53F71"/>
    <w:rsid w:val="00E550B9"/>
    <w:rsid w:val="00E557BF"/>
    <w:rsid w:val="00E574D7"/>
    <w:rsid w:val="00E60292"/>
    <w:rsid w:val="00E745DB"/>
    <w:rsid w:val="00E86DB3"/>
    <w:rsid w:val="00E87D47"/>
    <w:rsid w:val="00E9576B"/>
    <w:rsid w:val="00E95ADF"/>
    <w:rsid w:val="00EA1FFF"/>
    <w:rsid w:val="00EA48F9"/>
    <w:rsid w:val="00EA5EDC"/>
    <w:rsid w:val="00EB3F79"/>
    <w:rsid w:val="00EB6661"/>
    <w:rsid w:val="00EC022D"/>
    <w:rsid w:val="00EC514B"/>
    <w:rsid w:val="00EC585D"/>
    <w:rsid w:val="00ED162F"/>
    <w:rsid w:val="00ED33D4"/>
    <w:rsid w:val="00ED71BF"/>
    <w:rsid w:val="00EE4F19"/>
    <w:rsid w:val="00EE6661"/>
    <w:rsid w:val="00EF2E22"/>
    <w:rsid w:val="00EF3B64"/>
    <w:rsid w:val="00EF3BB4"/>
    <w:rsid w:val="00EF40BF"/>
    <w:rsid w:val="00EF57D7"/>
    <w:rsid w:val="00F01765"/>
    <w:rsid w:val="00F01BB1"/>
    <w:rsid w:val="00F02461"/>
    <w:rsid w:val="00F02EFC"/>
    <w:rsid w:val="00F07F17"/>
    <w:rsid w:val="00F104C3"/>
    <w:rsid w:val="00F118C3"/>
    <w:rsid w:val="00F12FDE"/>
    <w:rsid w:val="00F1313C"/>
    <w:rsid w:val="00F260BD"/>
    <w:rsid w:val="00F33C08"/>
    <w:rsid w:val="00F3673D"/>
    <w:rsid w:val="00F47174"/>
    <w:rsid w:val="00F53745"/>
    <w:rsid w:val="00F60BE1"/>
    <w:rsid w:val="00F63AE6"/>
    <w:rsid w:val="00F63BCB"/>
    <w:rsid w:val="00F6462E"/>
    <w:rsid w:val="00F653A3"/>
    <w:rsid w:val="00F65E11"/>
    <w:rsid w:val="00F80B42"/>
    <w:rsid w:val="00F939DB"/>
    <w:rsid w:val="00F9499B"/>
    <w:rsid w:val="00F97A2D"/>
    <w:rsid w:val="00FA2519"/>
    <w:rsid w:val="00FA44BE"/>
    <w:rsid w:val="00FA4658"/>
    <w:rsid w:val="00FB079A"/>
    <w:rsid w:val="00FB78CE"/>
    <w:rsid w:val="00FC0EEF"/>
    <w:rsid w:val="00FC352A"/>
    <w:rsid w:val="00FC368D"/>
    <w:rsid w:val="00FC423C"/>
    <w:rsid w:val="00FC5088"/>
    <w:rsid w:val="00FD22EB"/>
    <w:rsid w:val="00FD6A3E"/>
    <w:rsid w:val="00FD6E2F"/>
    <w:rsid w:val="00FE4DE8"/>
    <w:rsid w:val="00FE54DA"/>
    <w:rsid w:val="00FE670C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2235"/>
  <w15:chartTrackingRefBased/>
  <w15:docId w15:val="{B0803225-91EB-4E5D-9748-D82B0D5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5D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qFormat/>
    <w:rsid w:val="005D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7D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0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0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5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08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0050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508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05087"/>
    <w:rPr>
      <w:vertAlign w:val="superscript"/>
    </w:rPr>
  </w:style>
  <w:style w:type="character" w:customStyle="1" w:styleId="apple-converted-space">
    <w:name w:val="apple-converted-space"/>
    <w:basedOn w:val="DefaultParagraphFont"/>
    <w:rsid w:val="00606C97"/>
  </w:style>
  <w:style w:type="character" w:customStyle="1" w:styleId="Heading1Char">
    <w:name w:val="Heading 1 Char"/>
    <w:basedOn w:val="DefaultParagraphFont"/>
    <w:link w:val="Heading1"/>
    <w:rsid w:val="005D5DE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5D5DE1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rsid w:val="005D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5D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DE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D5DE1"/>
  </w:style>
  <w:style w:type="character" w:styleId="Strong">
    <w:name w:val="Strong"/>
    <w:qFormat/>
    <w:rsid w:val="005D5DE1"/>
    <w:rPr>
      <w:b/>
      <w:bCs/>
    </w:rPr>
  </w:style>
  <w:style w:type="character" w:customStyle="1" w:styleId="hps">
    <w:name w:val="hps"/>
    <w:rsid w:val="005D5DE1"/>
  </w:style>
  <w:style w:type="paragraph" w:styleId="Header">
    <w:name w:val="header"/>
    <w:basedOn w:val="Normal"/>
    <w:link w:val="HeaderChar"/>
    <w:unhideWhenUsed/>
    <w:rsid w:val="0001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budsman.gov.ie/en/About-Us/The-Ombudsman's-Office/Senior-Management-Team/" TargetMode="External"/><Relationship Id="rId2" Type="http://schemas.openxmlformats.org/officeDocument/2006/relationships/hyperlink" Target="http://www.ombudsman.gov.ie" TargetMode="External"/><Relationship Id="rId1" Type="http://schemas.openxmlformats.org/officeDocument/2006/relationships/hyperlink" Target="http://www.ombudsman.gov.ie/en/Publications/Annual-Reports/2014-Annual-Report/AnnualReport2014/chapter1.html" TargetMode="External"/><Relationship Id="rId5" Type="http://schemas.openxmlformats.org/officeDocument/2006/relationships/hyperlink" Target="http://www.ombudsman.gov.ie/en/About-Us/Legislation/Ombudsman-Amendment-Act-2012/Bodies-under-remit-from-May-2013/" TargetMode="External"/><Relationship Id="rId4" Type="http://schemas.openxmlformats.org/officeDocument/2006/relationships/hyperlink" Target="http://www.ombudsman.gov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CC237-82D8-4022-8B32-34515B4505E4}" type="doc">
      <dgm:prSet loTypeId="urn:microsoft.com/office/officeart/2005/8/layout/bProcess3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o-RO"/>
        </a:p>
      </dgm:t>
    </dgm:pt>
    <dgm:pt modelId="{B14307D1-FFB7-498A-84C0-BFE607807AD0}">
      <dgm:prSet phldrT="[Text]" custT="1"/>
      <dgm:spPr/>
      <dgm:t>
        <a:bodyPr/>
        <a:lstStyle/>
        <a:p>
          <a:r>
            <a:rPr lang="ro-RO" sz="1100"/>
            <a:t>Michael Mills</a:t>
          </a:r>
        </a:p>
        <a:p>
          <a:r>
            <a:rPr lang="ro-RO" sz="1100"/>
            <a:t>1984 - 1994</a:t>
          </a:r>
        </a:p>
      </dgm:t>
    </dgm:pt>
    <dgm:pt modelId="{8319A0F7-53D8-4438-B9AE-360366473960}" type="parTrans" cxnId="{A017899B-4599-4A11-8FE0-BB36B279F1E0}">
      <dgm:prSet/>
      <dgm:spPr/>
      <dgm:t>
        <a:bodyPr/>
        <a:lstStyle/>
        <a:p>
          <a:endParaRPr lang="ro-RO"/>
        </a:p>
      </dgm:t>
    </dgm:pt>
    <dgm:pt modelId="{179306BE-51AD-45C0-A314-BEBEBFCC3365}" type="sibTrans" cxnId="{A017899B-4599-4A11-8FE0-BB36B279F1E0}">
      <dgm:prSet/>
      <dgm:spPr/>
      <dgm:t>
        <a:bodyPr/>
        <a:lstStyle/>
        <a:p>
          <a:endParaRPr lang="ro-RO"/>
        </a:p>
      </dgm:t>
    </dgm:pt>
    <dgm:pt modelId="{8048EC87-A203-49C3-B592-6A31A5BCB2BD}">
      <dgm:prSet phldrT="[Text]" custT="1"/>
      <dgm:spPr/>
      <dgm:t>
        <a:bodyPr/>
        <a:lstStyle/>
        <a:p>
          <a:r>
            <a:rPr lang="ro-RO" sz="1100"/>
            <a:t>Kevin Murphy</a:t>
          </a:r>
        </a:p>
        <a:p>
          <a:r>
            <a:rPr lang="ro-RO" sz="1100"/>
            <a:t>1994 - 2003</a:t>
          </a:r>
        </a:p>
      </dgm:t>
    </dgm:pt>
    <dgm:pt modelId="{8F5DF995-CFD6-4C3C-B5AD-4A6CFB35660D}" type="parTrans" cxnId="{0DF7C57F-4B2F-4EE6-96C4-4417E016E142}">
      <dgm:prSet/>
      <dgm:spPr/>
      <dgm:t>
        <a:bodyPr/>
        <a:lstStyle/>
        <a:p>
          <a:endParaRPr lang="ro-RO"/>
        </a:p>
      </dgm:t>
    </dgm:pt>
    <dgm:pt modelId="{37A0C5DF-232C-4F5D-81B5-2F35EFF5FB53}" type="sibTrans" cxnId="{0DF7C57F-4B2F-4EE6-96C4-4417E016E142}">
      <dgm:prSet/>
      <dgm:spPr/>
      <dgm:t>
        <a:bodyPr/>
        <a:lstStyle/>
        <a:p>
          <a:endParaRPr lang="ro-RO"/>
        </a:p>
      </dgm:t>
    </dgm:pt>
    <dgm:pt modelId="{78558B71-2B5A-4322-831E-01F137405A59}">
      <dgm:prSet phldrT="[Text]" custT="1"/>
      <dgm:spPr/>
      <dgm:t>
        <a:bodyPr/>
        <a:lstStyle/>
        <a:p>
          <a:r>
            <a:rPr lang="ro-RO" sz="1100"/>
            <a:t>Emily O</a:t>
          </a:r>
          <a:r>
            <a:rPr lang="en-GB" sz="1100"/>
            <a:t>'Reilly</a:t>
          </a:r>
          <a:endParaRPr lang="ro-RO" sz="1100"/>
        </a:p>
        <a:p>
          <a:r>
            <a:rPr lang="en-GB" sz="1100"/>
            <a:t>2003</a:t>
          </a:r>
          <a:r>
            <a:rPr lang="ro-RO" sz="1100"/>
            <a:t> - </a:t>
          </a:r>
          <a:r>
            <a:rPr lang="en-GB" sz="1100"/>
            <a:t>2013</a:t>
          </a:r>
          <a:endParaRPr lang="ro-RO" sz="1100"/>
        </a:p>
      </dgm:t>
    </dgm:pt>
    <dgm:pt modelId="{B64AF79D-219B-4DD0-9D3B-ACEF6AFE5C7A}" type="parTrans" cxnId="{FEEB5ED9-74A2-436C-8194-2F7836D05220}">
      <dgm:prSet/>
      <dgm:spPr/>
      <dgm:t>
        <a:bodyPr/>
        <a:lstStyle/>
        <a:p>
          <a:endParaRPr lang="ro-RO"/>
        </a:p>
      </dgm:t>
    </dgm:pt>
    <dgm:pt modelId="{43361CC4-0B69-418F-AC96-C8606E360153}" type="sibTrans" cxnId="{FEEB5ED9-74A2-436C-8194-2F7836D05220}">
      <dgm:prSet/>
      <dgm:spPr/>
      <dgm:t>
        <a:bodyPr/>
        <a:lstStyle/>
        <a:p>
          <a:endParaRPr lang="ro-RO"/>
        </a:p>
      </dgm:t>
    </dgm:pt>
    <dgm:pt modelId="{B34D25B3-EC98-4294-82B4-5E887829CCD9}">
      <dgm:prSet phldrT="[Text]" custT="1"/>
      <dgm:spPr/>
      <dgm:t>
        <a:bodyPr/>
        <a:lstStyle/>
        <a:p>
          <a:r>
            <a:rPr lang="en-GB" sz="1100"/>
            <a:t>Peter Tyndall</a:t>
          </a:r>
          <a:endParaRPr lang="ro-RO" sz="1100"/>
        </a:p>
        <a:p>
          <a:r>
            <a:rPr lang="ro-RO" sz="1100"/>
            <a:t>2013 - prezent</a:t>
          </a:r>
        </a:p>
      </dgm:t>
    </dgm:pt>
    <dgm:pt modelId="{EB1264E4-368C-4CF4-823E-426FE4B5E402}" type="parTrans" cxnId="{494A9D76-5336-47F9-AB69-9DCDE6A0A8EE}">
      <dgm:prSet/>
      <dgm:spPr/>
      <dgm:t>
        <a:bodyPr/>
        <a:lstStyle/>
        <a:p>
          <a:endParaRPr lang="ro-RO"/>
        </a:p>
      </dgm:t>
    </dgm:pt>
    <dgm:pt modelId="{233A1366-3371-401C-9BBB-9A8E0E78406B}" type="sibTrans" cxnId="{494A9D76-5336-47F9-AB69-9DCDE6A0A8EE}">
      <dgm:prSet/>
      <dgm:spPr/>
      <dgm:t>
        <a:bodyPr/>
        <a:lstStyle/>
        <a:p>
          <a:endParaRPr lang="ro-RO"/>
        </a:p>
      </dgm:t>
    </dgm:pt>
    <dgm:pt modelId="{6DE760E0-CB76-4A7D-8647-CBDC77F5603F}" type="pres">
      <dgm:prSet presAssocID="{9F6CC237-82D8-4022-8B32-34515B4505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2F680D0C-908E-47FB-A933-1B54538C38F9}" type="pres">
      <dgm:prSet presAssocID="{B14307D1-FFB7-498A-84C0-BFE607807AD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3C06676A-6D3A-4558-A2C2-C762C007C00B}" type="pres">
      <dgm:prSet presAssocID="{179306BE-51AD-45C0-A314-BEBEBFCC3365}" presName="sibTrans" presStyleLbl="sibTrans1D1" presStyleIdx="0" presStyleCnt="3"/>
      <dgm:spPr/>
      <dgm:t>
        <a:bodyPr/>
        <a:lstStyle/>
        <a:p>
          <a:endParaRPr lang="ro-RO"/>
        </a:p>
      </dgm:t>
    </dgm:pt>
    <dgm:pt modelId="{8A7F888E-8B09-406D-8CCF-954F8A94BE0F}" type="pres">
      <dgm:prSet presAssocID="{179306BE-51AD-45C0-A314-BEBEBFCC3365}" presName="connectorText" presStyleLbl="sibTrans1D1" presStyleIdx="0" presStyleCnt="3"/>
      <dgm:spPr/>
      <dgm:t>
        <a:bodyPr/>
        <a:lstStyle/>
        <a:p>
          <a:endParaRPr lang="ro-RO"/>
        </a:p>
      </dgm:t>
    </dgm:pt>
    <dgm:pt modelId="{19F04ACE-FA4E-4290-BFD8-4A03AF000094}" type="pres">
      <dgm:prSet presAssocID="{8048EC87-A203-49C3-B592-6A31A5BCB2B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6FF8ED46-1561-4F28-88A2-26A17E798A00}" type="pres">
      <dgm:prSet presAssocID="{37A0C5DF-232C-4F5D-81B5-2F35EFF5FB53}" presName="sibTrans" presStyleLbl="sibTrans1D1" presStyleIdx="1" presStyleCnt="3"/>
      <dgm:spPr/>
      <dgm:t>
        <a:bodyPr/>
        <a:lstStyle/>
        <a:p>
          <a:endParaRPr lang="ro-RO"/>
        </a:p>
      </dgm:t>
    </dgm:pt>
    <dgm:pt modelId="{8383B2DB-4582-4741-9BEE-B15955D7D678}" type="pres">
      <dgm:prSet presAssocID="{37A0C5DF-232C-4F5D-81B5-2F35EFF5FB53}" presName="connectorText" presStyleLbl="sibTrans1D1" presStyleIdx="1" presStyleCnt="3"/>
      <dgm:spPr/>
      <dgm:t>
        <a:bodyPr/>
        <a:lstStyle/>
        <a:p>
          <a:endParaRPr lang="ro-RO"/>
        </a:p>
      </dgm:t>
    </dgm:pt>
    <dgm:pt modelId="{5A957C2B-A6A4-4AEA-9E00-B777AE3F414B}" type="pres">
      <dgm:prSet presAssocID="{78558B71-2B5A-4322-831E-01F137405A5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ABA7AA0B-670D-4E27-9CD9-33FDEE60179D}" type="pres">
      <dgm:prSet presAssocID="{43361CC4-0B69-418F-AC96-C8606E360153}" presName="sibTrans" presStyleLbl="sibTrans1D1" presStyleIdx="2" presStyleCnt="3"/>
      <dgm:spPr/>
      <dgm:t>
        <a:bodyPr/>
        <a:lstStyle/>
        <a:p>
          <a:endParaRPr lang="ro-RO"/>
        </a:p>
      </dgm:t>
    </dgm:pt>
    <dgm:pt modelId="{74932912-11CE-44A5-BEAA-7E776DF84A3B}" type="pres">
      <dgm:prSet presAssocID="{43361CC4-0B69-418F-AC96-C8606E360153}" presName="connectorText" presStyleLbl="sibTrans1D1" presStyleIdx="2" presStyleCnt="3"/>
      <dgm:spPr/>
      <dgm:t>
        <a:bodyPr/>
        <a:lstStyle/>
        <a:p>
          <a:endParaRPr lang="ro-RO"/>
        </a:p>
      </dgm:t>
    </dgm:pt>
    <dgm:pt modelId="{53E442C0-D629-47C6-BEF5-F35342182014}" type="pres">
      <dgm:prSet presAssocID="{B34D25B3-EC98-4294-82B4-5E887829CCD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</dgm:ptLst>
  <dgm:cxnLst>
    <dgm:cxn modelId="{8BB0E87D-2AC9-44C7-B2E5-97070EB8A29E}" type="presOf" srcId="{37A0C5DF-232C-4F5D-81B5-2F35EFF5FB53}" destId="{8383B2DB-4582-4741-9BEE-B15955D7D678}" srcOrd="1" destOrd="0" presId="urn:microsoft.com/office/officeart/2005/8/layout/bProcess3"/>
    <dgm:cxn modelId="{A017899B-4599-4A11-8FE0-BB36B279F1E0}" srcId="{9F6CC237-82D8-4022-8B32-34515B4505E4}" destId="{B14307D1-FFB7-498A-84C0-BFE607807AD0}" srcOrd="0" destOrd="0" parTransId="{8319A0F7-53D8-4438-B9AE-360366473960}" sibTransId="{179306BE-51AD-45C0-A314-BEBEBFCC3365}"/>
    <dgm:cxn modelId="{4972AA2D-85F7-4380-9AB4-FD5CC783BC60}" type="presOf" srcId="{43361CC4-0B69-418F-AC96-C8606E360153}" destId="{ABA7AA0B-670D-4E27-9CD9-33FDEE60179D}" srcOrd="0" destOrd="0" presId="urn:microsoft.com/office/officeart/2005/8/layout/bProcess3"/>
    <dgm:cxn modelId="{4E94543A-2AE5-4131-9DDB-DC17CCCF6204}" type="presOf" srcId="{B14307D1-FFB7-498A-84C0-BFE607807AD0}" destId="{2F680D0C-908E-47FB-A933-1B54538C38F9}" srcOrd="0" destOrd="0" presId="urn:microsoft.com/office/officeart/2005/8/layout/bProcess3"/>
    <dgm:cxn modelId="{5CA55569-A88F-4D2B-8D3C-D510D95B08A1}" type="presOf" srcId="{37A0C5DF-232C-4F5D-81B5-2F35EFF5FB53}" destId="{6FF8ED46-1561-4F28-88A2-26A17E798A00}" srcOrd="0" destOrd="0" presId="urn:microsoft.com/office/officeart/2005/8/layout/bProcess3"/>
    <dgm:cxn modelId="{85C89546-C2C7-4F84-92CE-E2D8B3D3EDF1}" type="presOf" srcId="{78558B71-2B5A-4322-831E-01F137405A59}" destId="{5A957C2B-A6A4-4AEA-9E00-B777AE3F414B}" srcOrd="0" destOrd="0" presId="urn:microsoft.com/office/officeart/2005/8/layout/bProcess3"/>
    <dgm:cxn modelId="{056AA6E3-E33B-4C73-9AEA-5E250D60DCBE}" type="presOf" srcId="{B34D25B3-EC98-4294-82B4-5E887829CCD9}" destId="{53E442C0-D629-47C6-BEF5-F35342182014}" srcOrd="0" destOrd="0" presId="urn:microsoft.com/office/officeart/2005/8/layout/bProcess3"/>
    <dgm:cxn modelId="{11B5804D-E116-4F83-95F0-E45F3AF1AE9C}" type="presOf" srcId="{179306BE-51AD-45C0-A314-BEBEBFCC3365}" destId="{8A7F888E-8B09-406D-8CCF-954F8A94BE0F}" srcOrd="1" destOrd="0" presId="urn:microsoft.com/office/officeart/2005/8/layout/bProcess3"/>
    <dgm:cxn modelId="{494A9D76-5336-47F9-AB69-9DCDE6A0A8EE}" srcId="{9F6CC237-82D8-4022-8B32-34515B4505E4}" destId="{B34D25B3-EC98-4294-82B4-5E887829CCD9}" srcOrd="3" destOrd="0" parTransId="{EB1264E4-368C-4CF4-823E-426FE4B5E402}" sibTransId="{233A1366-3371-401C-9BBB-9A8E0E78406B}"/>
    <dgm:cxn modelId="{FEEB5ED9-74A2-436C-8194-2F7836D05220}" srcId="{9F6CC237-82D8-4022-8B32-34515B4505E4}" destId="{78558B71-2B5A-4322-831E-01F137405A59}" srcOrd="2" destOrd="0" parTransId="{B64AF79D-219B-4DD0-9D3B-ACEF6AFE5C7A}" sibTransId="{43361CC4-0B69-418F-AC96-C8606E360153}"/>
    <dgm:cxn modelId="{0DF7C57F-4B2F-4EE6-96C4-4417E016E142}" srcId="{9F6CC237-82D8-4022-8B32-34515B4505E4}" destId="{8048EC87-A203-49C3-B592-6A31A5BCB2BD}" srcOrd="1" destOrd="0" parTransId="{8F5DF995-CFD6-4C3C-B5AD-4A6CFB35660D}" sibTransId="{37A0C5DF-232C-4F5D-81B5-2F35EFF5FB53}"/>
    <dgm:cxn modelId="{CABF8139-5662-45EC-BA07-ECF9920EE4E8}" type="presOf" srcId="{43361CC4-0B69-418F-AC96-C8606E360153}" destId="{74932912-11CE-44A5-BEAA-7E776DF84A3B}" srcOrd="1" destOrd="0" presId="urn:microsoft.com/office/officeart/2005/8/layout/bProcess3"/>
    <dgm:cxn modelId="{34ED5E8F-B15E-47C6-B125-A74E9DF80ADA}" type="presOf" srcId="{8048EC87-A203-49C3-B592-6A31A5BCB2BD}" destId="{19F04ACE-FA4E-4290-BFD8-4A03AF000094}" srcOrd="0" destOrd="0" presId="urn:microsoft.com/office/officeart/2005/8/layout/bProcess3"/>
    <dgm:cxn modelId="{22F9E664-95EA-43B0-9E24-47D579963F8D}" type="presOf" srcId="{179306BE-51AD-45C0-A314-BEBEBFCC3365}" destId="{3C06676A-6D3A-4558-A2C2-C762C007C00B}" srcOrd="0" destOrd="0" presId="urn:microsoft.com/office/officeart/2005/8/layout/bProcess3"/>
    <dgm:cxn modelId="{E07B0C34-1DC7-4132-AAC9-3CE45025BAEB}" type="presOf" srcId="{9F6CC237-82D8-4022-8B32-34515B4505E4}" destId="{6DE760E0-CB76-4A7D-8647-CBDC77F5603F}" srcOrd="0" destOrd="0" presId="urn:microsoft.com/office/officeart/2005/8/layout/bProcess3"/>
    <dgm:cxn modelId="{68132C8B-52FD-47F2-9CF8-A53D3A3F2074}" type="presParOf" srcId="{6DE760E0-CB76-4A7D-8647-CBDC77F5603F}" destId="{2F680D0C-908E-47FB-A933-1B54538C38F9}" srcOrd="0" destOrd="0" presId="urn:microsoft.com/office/officeart/2005/8/layout/bProcess3"/>
    <dgm:cxn modelId="{78CA3BB3-6E82-4ADD-B8AD-40BE48896FB2}" type="presParOf" srcId="{6DE760E0-CB76-4A7D-8647-CBDC77F5603F}" destId="{3C06676A-6D3A-4558-A2C2-C762C007C00B}" srcOrd="1" destOrd="0" presId="urn:microsoft.com/office/officeart/2005/8/layout/bProcess3"/>
    <dgm:cxn modelId="{688D0BC0-F395-4EEF-9ED8-D44983FC0514}" type="presParOf" srcId="{3C06676A-6D3A-4558-A2C2-C762C007C00B}" destId="{8A7F888E-8B09-406D-8CCF-954F8A94BE0F}" srcOrd="0" destOrd="0" presId="urn:microsoft.com/office/officeart/2005/8/layout/bProcess3"/>
    <dgm:cxn modelId="{358F20D7-FC3E-4119-B206-2F465CE39702}" type="presParOf" srcId="{6DE760E0-CB76-4A7D-8647-CBDC77F5603F}" destId="{19F04ACE-FA4E-4290-BFD8-4A03AF000094}" srcOrd="2" destOrd="0" presId="urn:microsoft.com/office/officeart/2005/8/layout/bProcess3"/>
    <dgm:cxn modelId="{FBCDA8BA-B7D6-4426-AF6D-55BB90F476B3}" type="presParOf" srcId="{6DE760E0-CB76-4A7D-8647-CBDC77F5603F}" destId="{6FF8ED46-1561-4F28-88A2-26A17E798A00}" srcOrd="3" destOrd="0" presId="urn:microsoft.com/office/officeart/2005/8/layout/bProcess3"/>
    <dgm:cxn modelId="{8814D8DC-F317-4157-872E-A4277C0506F8}" type="presParOf" srcId="{6FF8ED46-1561-4F28-88A2-26A17E798A00}" destId="{8383B2DB-4582-4741-9BEE-B15955D7D678}" srcOrd="0" destOrd="0" presId="urn:microsoft.com/office/officeart/2005/8/layout/bProcess3"/>
    <dgm:cxn modelId="{75DF9D51-3BC3-4852-804D-47684915EFA1}" type="presParOf" srcId="{6DE760E0-CB76-4A7D-8647-CBDC77F5603F}" destId="{5A957C2B-A6A4-4AEA-9E00-B777AE3F414B}" srcOrd="4" destOrd="0" presId="urn:microsoft.com/office/officeart/2005/8/layout/bProcess3"/>
    <dgm:cxn modelId="{DF3FB37E-D5AB-489C-B9D9-86490AFE1666}" type="presParOf" srcId="{6DE760E0-CB76-4A7D-8647-CBDC77F5603F}" destId="{ABA7AA0B-670D-4E27-9CD9-33FDEE60179D}" srcOrd="5" destOrd="0" presId="urn:microsoft.com/office/officeart/2005/8/layout/bProcess3"/>
    <dgm:cxn modelId="{32D65AE8-59C2-4409-99CA-C7FB48D87645}" type="presParOf" srcId="{ABA7AA0B-670D-4E27-9CD9-33FDEE60179D}" destId="{74932912-11CE-44A5-BEAA-7E776DF84A3B}" srcOrd="0" destOrd="0" presId="urn:microsoft.com/office/officeart/2005/8/layout/bProcess3"/>
    <dgm:cxn modelId="{8ED1B329-008E-4543-81F8-B31DEF4B110F}" type="presParOf" srcId="{6DE760E0-CB76-4A7D-8647-CBDC77F5603F}" destId="{53E442C0-D629-47C6-BEF5-F35342182014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06676A-6D3A-4558-A2C2-C762C007C00B}">
      <dsp:nvSpPr>
        <dsp:cNvPr id="0" name=""/>
        <dsp:cNvSpPr/>
      </dsp:nvSpPr>
      <dsp:spPr>
        <a:xfrm>
          <a:off x="2277666" y="386523"/>
          <a:ext cx="2999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966" y="4572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2419385" y="430590"/>
        <a:ext cx="16528" cy="3305"/>
      </dsp:txXfrm>
    </dsp:sp>
    <dsp:sp modelId="{2F680D0C-908E-47FB-A933-1B54538C38F9}">
      <dsp:nvSpPr>
        <dsp:cNvPr id="0" name=""/>
        <dsp:cNvSpPr/>
      </dsp:nvSpPr>
      <dsp:spPr>
        <a:xfrm>
          <a:off x="842221" y="1069"/>
          <a:ext cx="1437245" cy="862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Michael Mills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1984 - 1994</a:t>
          </a:r>
        </a:p>
      </dsp:txBody>
      <dsp:txXfrm>
        <a:off x="842221" y="1069"/>
        <a:ext cx="1437245" cy="862347"/>
      </dsp:txXfrm>
    </dsp:sp>
    <dsp:sp modelId="{6FF8ED46-1561-4F28-88A2-26A17E798A00}">
      <dsp:nvSpPr>
        <dsp:cNvPr id="0" name=""/>
        <dsp:cNvSpPr/>
      </dsp:nvSpPr>
      <dsp:spPr>
        <a:xfrm>
          <a:off x="1560843" y="861616"/>
          <a:ext cx="1767812" cy="299966"/>
        </a:xfrm>
        <a:custGeom>
          <a:avLst/>
          <a:gdLst/>
          <a:ahLst/>
          <a:cxnLst/>
          <a:rect l="0" t="0" r="0" b="0"/>
          <a:pathLst>
            <a:path>
              <a:moveTo>
                <a:pt x="1767812" y="0"/>
              </a:moveTo>
              <a:lnTo>
                <a:pt x="1767812" y="167083"/>
              </a:lnTo>
              <a:lnTo>
                <a:pt x="0" y="167083"/>
              </a:lnTo>
              <a:lnTo>
                <a:pt x="0" y="299966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2399788" y="1009947"/>
        <a:ext cx="89922" cy="3305"/>
      </dsp:txXfrm>
    </dsp:sp>
    <dsp:sp modelId="{19F04ACE-FA4E-4290-BFD8-4A03AF000094}">
      <dsp:nvSpPr>
        <dsp:cNvPr id="0" name=""/>
        <dsp:cNvSpPr/>
      </dsp:nvSpPr>
      <dsp:spPr>
        <a:xfrm>
          <a:off x="2610033" y="1069"/>
          <a:ext cx="1437245" cy="862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Kevin Murphy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1994 - 2003</a:t>
          </a:r>
        </a:p>
      </dsp:txBody>
      <dsp:txXfrm>
        <a:off x="2610033" y="1069"/>
        <a:ext cx="1437245" cy="862347"/>
      </dsp:txXfrm>
    </dsp:sp>
    <dsp:sp modelId="{ABA7AA0B-670D-4E27-9CD9-33FDEE60179D}">
      <dsp:nvSpPr>
        <dsp:cNvPr id="0" name=""/>
        <dsp:cNvSpPr/>
      </dsp:nvSpPr>
      <dsp:spPr>
        <a:xfrm>
          <a:off x="2277666" y="1579436"/>
          <a:ext cx="2999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9966" y="45720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500" kern="1200"/>
        </a:p>
      </dsp:txBody>
      <dsp:txXfrm>
        <a:off x="2419385" y="1623504"/>
        <a:ext cx="16528" cy="3305"/>
      </dsp:txXfrm>
    </dsp:sp>
    <dsp:sp modelId="{5A957C2B-A6A4-4AEA-9E00-B777AE3F414B}">
      <dsp:nvSpPr>
        <dsp:cNvPr id="0" name=""/>
        <dsp:cNvSpPr/>
      </dsp:nvSpPr>
      <dsp:spPr>
        <a:xfrm>
          <a:off x="842221" y="1193983"/>
          <a:ext cx="1437245" cy="862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Emily O</a:t>
          </a:r>
          <a:r>
            <a:rPr lang="en-GB" sz="1100" kern="1200"/>
            <a:t>'Reilly</a:t>
          </a:r>
          <a:endParaRPr lang="ro-RO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2003</a:t>
          </a:r>
          <a:r>
            <a:rPr lang="ro-RO" sz="1100" kern="1200"/>
            <a:t> - </a:t>
          </a:r>
          <a:r>
            <a:rPr lang="en-GB" sz="1100" kern="1200"/>
            <a:t>2013</a:t>
          </a:r>
          <a:endParaRPr lang="ro-RO" sz="1100" kern="1200"/>
        </a:p>
      </dsp:txBody>
      <dsp:txXfrm>
        <a:off x="842221" y="1193983"/>
        <a:ext cx="1437245" cy="862347"/>
      </dsp:txXfrm>
    </dsp:sp>
    <dsp:sp modelId="{53E442C0-D629-47C6-BEF5-F35342182014}">
      <dsp:nvSpPr>
        <dsp:cNvPr id="0" name=""/>
        <dsp:cNvSpPr/>
      </dsp:nvSpPr>
      <dsp:spPr>
        <a:xfrm>
          <a:off x="2610033" y="1193983"/>
          <a:ext cx="1437245" cy="8623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Peter Tyndall</a:t>
          </a:r>
          <a:endParaRPr lang="ro-RO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100" kern="1200"/>
            <a:t>2013 - prezent</a:t>
          </a:r>
        </a:p>
      </dsp:txBody>
      <dsp:txXfrm>
        <a:off x="2610033" y="1193983"/>
        <a:ext cx="1437245" cy="862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41AF48-A444-4153-B098-9AC11A8C1F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FACF-7308-47F0-9EF3-E827CD0E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2016-04-11T09:13:00Z</dcterms:created>
  <dcterms:modified xsi:type="dcterms:W3CDTF">2016-04-11T09:13:00Z</dcterms:modified>
</cp:coreProperties>
</file>